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EF" w:rsidRPr="004F16B6" w:rsidRDefault="00C917EF" w:rsidP="004F16B6">
      <w:pPr>
        <w:jc w:val="both"/>
      </w:pPr>
    </w:p>
    <w:p w:rsidR="004F16B6" w:rsidRDefault="004F16B6" w:rsidP="003809FD">
      <w:pPr>
        <w:jc w:val="center"/>
        <w:rPr>
          <w:sz w:val="28"/>
          <w:szCs w:val="28"/>
        </w:rPr>
      </w:pPr>
    </w:p>
    <w:p w:rsidR="00D966BD" w:rsidRDefault="00D966BD" w:rsidP="003809FD">
      <w:pPr>
        <w:jc w:val="center"/>
        <w:rPr>
          <w:sz w:val="28"/>
          <w:szCs w:val="28"/>
        </w:rPr>
      </w:pPr>
    </w:p>
    <w:p w:rsidR="00757E67" w:rsidRDefault="00757E67" w:rsidP="003809FD">
      <w:pPr>
        <w:jc w:val="center"/>
        <w:rPr>
          <w:sz w:val="28"/>
          <w:szCs w:val="28"/>
        </w:rPr>
      </w:pPr>
    </w:p>
    <w:p w:rsidR="006762B5" w:rsidRPr="00D041FF" w:rsidRDefault="00B25F23" w:rsidP="00071DE4">
      <w:pPr>
        <w:jc w:val="center"/>
        <w:rPr>
          <w:b/>
          <w:sz w:val="28"/>
          <w:szCs w:val="28"/>
        </w:rPr>
      </w:pPr>
      <w:r w:rsidRPr="00D041FF">
        <w:rPr>
          <w:b/>
          <w:sz w:val="28"/>
          <w:szCs w:val="28"/>
        </w:rPr>
        <w:t xml:space="preserve">Demand </w:t>
      </w:r>
      <w:r w:rsidR="00C50B7C" w:rsidRPr="00D041FF">
        <w:rPr>
          <w:b/>
          <w:sz w:val="28"/>
          <w:szCs w:val="28"/>
        </w:rPr>
        <w:t>for</w:t>
      </w:r>
      <w:r w:rsidRPr="00D041FF">
        <w:rPr>
          <w:b/>
          <w:sz w:val="28"/>
          <w:szCs w:val="28"/>
        </w:rPr>
        <w:t xml:space="preserve"> School Quality in the </w:t>
      </w:r>
      <w:r w:rsidR="00A71919">
        <w:rPr>
          <w:b/>
          <w:sz w:val="28"/>
          <w:szCs w:val="28"/>
        </w:rPr>
        <w:t>Pre-School</w:t>
      </w:r>
      <w:r w:rsidRPr="00D041FF">
        <w:rPr>
          <w:b/>
          <w:sz w:val="28"/>
          <w:szCs w:val="28"/>
        </w:rPr>
        <w:t xml:space="preserve"> Years</w:t>
      </w:r>
    </w:p>
    <w:p w:rsidR="006762B5" w:rsidRPr="00D966BD" w:rsidRDefault="006762B5" w:rsidP="003809FD">
      <w:pPr>
        <w:jc w:val="center"/>
        <w:rPr>
          <w:b/>
        </w:rPr>
      </w:pPr>
    </w:p>
    <w:p w:rsidR="006762B5" w:rsidRPr="00D966BD" w:rsidRDefault="006762B5" w:rsidP="006762B5">
      <w:pPr>
        <w:jc w:val="center"/>
      </w:pPr>
    </w:p>
    <w:p w:rsidR="006762B5" w:rsidRPr="00D966BD" w:rsidRDefault="00C8700D" w:rsidP="006762B5">
      <w:pPr>
        <w:jc w:val="center"/>
      </w:pPr>
      <w:r>
        <w:t>February 2010</w:t>
      </w:r>
    </w:p>
    <w:p w:rsidR="006762B5" w:rsidRPr="00D966BD" w:rsidRDefault="006762B5" w:rsidP="006762B5">
      <w:pPr>
        <w:jc w:val="center"/>
      </w:pPr>
    </w:p>
    <w:p w:rsidR="00813B32" w:rsidRPr="00D966BD" w:rsidRDefault="00813B32" w:rsidP="006762B5">
      <w:pPr>
        <w:jc w:val="center"/>
      </w:pPr>
    </w:p>
    <w:p w:rsidR="006762B5" w:rsidRPr="00D966BD" w:rsidRDefault="006762B5" w:rsidP="006762B5">
      <w:pPr>
        <w:jc w:val="center"/>
        <w:rPr>
          <w:b/>
        </w:rPr>
      </w:pPr>
      <w:smartTag w:uri="urn:schemas-microsoft-com:office:smarttags" w:element="PersonName">
        <w:r w:rsidRPr="00D966BD">
          <w:rPr>
            <w:b/>
          </w:rPr>
          <w:t>Kirstine Hansen</w:t>
        </w:r>
      </w:smartTag>
      <w:r w:rsidRPr="00D966BD">
        <w:rPr>
          <w:b/>
        </w:rPr>
        <w:t>* and Stephen Machin**</w:t>
      </w:r>
    </w:p>
    <w:p w:rsidR="006762B5" w:rsidRPr="00D966BD" w:rsidRDefault="006762B5" w:rsidP="006762B5">
      <w:pPr>
        <w:jc w:val="center"/>
        <w:rPr>
          <w:b/>
        </w:rPr>
      </w:pPr>
    </w:p>
    <w:p w:rsidR="006762B5" w:rsidRPr="00D966BD" w:rsidRDefault="006762B5" w:rsidP="006762B5">
      <w:pPr>
        <w:jc w:val="center"/>
        <w:rPr>
          <w:b/>
        </w:rPr>
      </w:pPr>
    </w:p>
    <w:p w:rsidR="00D966BD" w:rsidRPr="00D966BD" w:rsidRDefault="00D966BD" w:rsidP="006762B5">
      <w:pPr>
        <w:jc w:val="center"/>
        <w:rPr>
          <w:b/>
        </w:rPr>
      </w:pPr>
    </w:p>
    <w:p w:rsidR="00C917EF" w:rsidRPr="00D966BD" w:rsidRDefault="00C917EF" w:rsidP="006762B5">
      <w:pPr>
        <w:jc w:val="center"/>
        <w:rPr>
          <w:b/>
        </w:rPr>
      </w:pPr>
    </w:p>
    <w:p w:rsidR="006762B5" w:rsidRPr="00D966BD" w:rsidRDefault="00071DE4" w:rsidP="006762B5">
      <w:pPr>
        <w:jc w:val="both"/>
        <w:rPr>
          <w:i/>
        </w:rPr>
      </w:pPr>
      <w:r w:rsidRPr="00D966BD">
        <w:rPr>
          <w:i/>
        </w:rPr>
        <w:t>*</w:t>
      </w:r>
      <w:r w:rsidR="006762B5" w:rsidRPr="00D966BD">
        <w:rPr>
          <w:i/>
        </w:rPr>
        <w:tab/>
        <w:t>Centre for Longitudinal Studies, Institute of Education</w:t>
      </w:r>
    </w:p>
    <w:p w:rsidR="006762B5" w:rsidRPr="00D966BD" w:rsidRDefault="006762B5" w:rsidP="006762B5">
      <w:pPr>
        <w:jc w:val="both"/>
        <w:rPr>
          <w:i/>
        </w:rPr>
      </w:pPr>
    </w:p>
    <w:p w:rsidR="006762B5" w:rsidRPr="00D966BD" w:rsidRDefault="006762B5" w:rsidP="006762B5">
      <w:pPr>
        <w:ind w:left="720" w:hanging="720"/>
        <w:jc w:val="both"/>
        <w:rPr>
          <w:i/>
        </w:rPr>
      </w:pPr>
      <w:r w:rsidRPr="00D966BD">
        <w:rPr>
          <w:i/>
        </w:rPr>
        <w:t>**</w:t>
      </w:r>
      <w:r w:rsidRPr="00D966BD">
        <w:rPr>
          <w:i/>
        </w:rPr>
        <w:tab/>
        <w:t xml:space="preserve"> Department of Economics, University College London and Centre for Economic Performance, London School of Economics.</w:t>
      </w:r>
    </w:p>
    <w:p w:rsidR="006762B5" w:rsidRPr="00D966BD" w:rsidRDefault="006762B5" w:rsidP="006762B5"/>
    <w:p w:rsidR="00D966BD" w:rsidRPr="00D966BD" w:rsidRDefault="00D966BD" w:rsidP="006762B5"/>
    <w:p w:rsidR="00D966BD" w:rsidRPr="00D966BD" w:rsidRDefault="00D966BD" w:rsidP="006762B5"/>
    <w:p w:rsidR="00C917EF" w:rsidRPr="00D966BD" w:rsidRDefault="00C917EF" w:rsidP="006762B5"/>
    <w:p w:rsidR="006762B5" w:rsidRPr="00D966BD" w:rsidRDefault="00F06584" w:rsidP="00F06584">
      <w:pPr>
        <w:rPr>
          <w:u w:val="single"/>
        </w:rPr>
      </w:pPr>
      <w:r w:rsidRPr="00D966BD">
        <w:rPr>
          <w:u w:val="single"/>
        </w:rPr>
        <w:t>Abstract</w:t>
      </w:r>
    </w:p>
    <w:p w:rsidR="00F06584" w:rsidRPr="00D966BD" w:rsidRDefault="00F06584" w:rsidP="005D1FA7">
      <w:pPr>
        <w:jc w:val="both"/>
      </w:pPr>
      <w:r w:rsidRPr="00D966BD">
        <w:t xml:space="preserve">In this </w:t>
      </w:r>
      <w:r w:rsidR="00B54610" w:rsidRPr="00D966BD">
        <w:t>paper,</w:t>
      </w:r>
      <w:r w:rsidRPr="00D966BD">
        <w:t xml:space="preserve"> we </w:t>
      </w:r>
      <w:r w:rsidR="00C3060C">
        <w:t>consider</w:t>
      </w:r>
      <w:r w:rsidRPr="00D966BD">
        <w:t xml:space="preserve"> the demand for school</w:t>
      </w:r>
      <w:r w:rsidR="00974B32" w:rsidRPr="00D966BD">
        <w:t xml:space="preserve"> quality</w:t>
      </w:r>
      <w:r w:rsidRPr="00D966BD">
        <w:t xml:space="preserve"> amongst parents with young </w:t>
      </w:r>
      <w:r w:rsidR="00C3060C">
        <w:t xml:space="preserve">pre-school </w:t>
      </w:r>
      <w:r w:rsidRPr="00D966BD">
        <w:t xml:space="preserve">children. </w:t>
      </w:r>
      <w:r w:rsidR="00974B32" w:rsidRPr="00D966BD">
        <w:t>We undertake</w:t>
      </w:r>
      <w:r w:rsidRPr="00D966BD">
        <w:t xml:space="preserve"> two sets of empirical analysis, the first studying house moves amongst families with young children in the UK in the early 2000s, and the second studying house price premia associated with school quality for this cohort of young children before they enter school.</w:t>
      </w:r>
      <w:r w:rsidR="008F13BC" w:rsidRPr="00D966BD">
        <w:t xml:space="preserve"> </w:t>
      </w:r>
      <w:r w:rsidRPr="00D966BD">
        <w:t>We present results showing that education related house moves</w:t>
      </w:r>
      <w:r w:rsidR="00B25F23" w:rsidRPr="00D966BD">
        <w:t xml:space="preserve"> frequently </w:t>
      </w:r>
      <w:r w:rsidRPr="00D966BD">
        <w:t>occur in the pre-school years and that parents are prepared to pay significant sums of money to buy a house located near to better performing primary schools</w:t>
      </w:r>
      <w:r w:rsidR="00DB53CE" w:rsidRPr="00D966BD">
        <w:t>,</w:t>
      </w:r>
      <w:r w:rsidR="00974B32" w:rsidRPr="00D966BD">
        <w:t xml:space="preserve"> </w:t>
      </w:r>
      <w:r w:rsidR="00DB53CE" w:rsidRPr="00D966BD">
        <w:t xml:space="preserve">even </w:t>
      </w:r>
      <w:r w:rsidR="00974B32" w:rsidRPr="00D966BD">
        <w:t xml:space="preserve">before their children reach school starting age. </w:t>
      </w:r>
      <w:r w:rsidR="00B25F23" w:rsidRPr="00D966BD">
        <w:t>We interpret this as showing that there is evidence of a strong demand for school quality in the early years as parents (especially more educated and well-to-do parents) ‘gear up’ their quest for what they perceive to be better schooling for their children before they start school.</w:t>
      </w:r>
    </w:p>
    <w:p w:rsidR="00F06584" w:rsidRPr="00D966BD" w:rsidRDefault="00F06584" w:rsidP="00071DE4">
      <w:pPr>
        <w:spacing w:line="480" w:lineRule="auto"/>
        <w:jc w:val="both"/>
        <w:rPr>
          <w:u w:val="single"/>
        </w:rPr>
      </w:pPr>
    </w:p>
    <w:p w:rsidR="005B15FF" w:rsidRPr="00D966BD" w:rsidRDefault="005B15FF" w:rsidP="005B15FF">
      <w:pPr>
        <w:jc w:val="both"/>
      </w:pPr>
      <w:r w:rsidRPr="00D966BD">
        <w:t>Keywords: House moves; House prices; School quality.</w:t>
      </w:r>
    </w:p>
    <w:p w:rsidR="005B15FF" w:rsidRPr="00D966BD" w:rsidRDefault="005B15FF" w:rsidP="005B15FF">
      <w:pPr>
        <w:jc w:val="both"/>
      </w:pPr>
    </w:p>
    <w:p w:rsidR="005B15FF" w:rsidRPr="00D966BD" w:rsidRDefault="005B15FF" w:rsidP="005B15FF">
      <w:pPr>
        <w:jc w:val="both"/>
      </w:pPr>
      <w:r w:rsidRPr="00D966BD">
        <w:t>JEL Classifications: C21; I20, H75; R21.</w:t>
      </w:r>
    </w:p>
    <w:p w:rsidR="00F06584" w:rsidRPr="00D966BD" w:rsidRDefault="00F06584" w:rsidP="00071DE4">
      <w:pPr>
        <w:spacing w:line="480" w:lineRule="auto"/>
        <w:jc w:val="both"/>
        <w:rPr>
          <w:u w:val="single"/>
        </w:rPr>
      </w:pPr>
    </w:p>
    <w:p w:rsidR="00F06584" w:rsidRPr="00D966BD" w:rsidRDefault="00F06584" w:rsidP="002427D3">
      <w:pPr>
        <w:jc w:val="both"/>
        <w:rPr>
          <w:u w:val="single"/>
        </w:rPr>
      </w:pPr>
      <w:r w:rsidRPr="00D966BD">
        <w:rPr>
          <w:u w:val="single"/>
        </w:rPr>
        <w:t>Acknowledgements</w:t>
      </w:r>
    </w:p>
    <w:p w:rsidR="00C93600" w:rsidRDefault="002427D3" w:rsidP="002427D3">
      <w:pPr>
        <w:jc w:val="both"/>
      </w:pPr>
      <w:r w:rsidRPr="00D966BD">
        <w:t xml:space="preserve">We would like to thank </w:t>
      </w:r>
      <w:r w:rsidR="00C8700D">
        <w:t xml:space="preserve">Lorraine Dearden, Steve Gibbons and </w:t>
      </w:r>
      <w:r w:rsidRPr="00D966BD">
        <w:t xml:space="preserve">participants at the Institute for Social and Economic Research at the University of Essex </w:t>
      </w:r>
      <w:r w:rsidR="004F16B6">
        <w:t xml:space="preserve">and the Economics of Education and Education Policy in Europe final conference at LSE </w:t>
      </w:r>
      <w:r w:rsidRPr="00D966BD">
        <w:t>for helpful comments and suggest</w:t>
      </w:r>
      <w:r w:rsidR="004F16B6">
        <w:t>ion</w:t>
      </w:r>
      <w:r w:rsidR="00C8700D">
        <w:t>s on an earlier</w:t>
      </w:r>
      <w:r w:rsidRPr="00D966BD">
        <w:t xml:space="preserve"> version of this paper.</w:t>
      </w:r>
    </w:p>
    <w:p w:rsidR="006762B5" w:rsidRDefault="00C93600" w:rsidP="00C8700D">
      <w:pPr>
        <w:rPr>
          <w:u w:val="single"/>
        </w:rPr>
      </w:pPr>
      <w:r>
        <w:br w:type="page"/>
      </w:r>
      <w:r w:rsidR="00071DE4">
        <w:rPr>
          <w:u w:val="single"/>
        </w:rPr>
        <w:lastRenderedPageBreak/>
        <w:t>1. Introduction</w:t>
      </w:r>
    </w:p>
    <w:p w:rsidR="00C8700D" w:rsidRDefault="00C8700D" w:rsidP="00C8700D">
      <w:pPr>
        <w:rPr>
          <w:u w:val="single"/>
        </w:rPr>
      </w:pPr>
    </w:p>
    <w:p w:rsidR="006A2FB0" w:rsidRDefault="006A2FB0" w:rsidP="006E3544">
      <w:pPr>
        <w:spacing w:line="480" w:lineRule="auto"/>
        <w:jc w:val="both"/>
      </w:pPr>
      <w:r>
        <w:tab/>
      </w:r>
      <w:r w:rsidR="00343646">
        <w:t>C</w:t>
      </w:r>
      <w:r>
        <w:t xml:space="preserve">lear evidence that school quality matters comes from the </w:t>
      </w:r>
      <w:r w:rsidR="00322263">
        <w:t>literature on parental willingness to pay for what they perceive to be higher quality schooling</w:t>
      </w:r>
      <w:r w:rsidR="00C10A81">
        <w:t>.</w:t>
      </w:r>
      <w:r w:rsidR="00974B32">
        <w:t xml:space="preserve"> A by now large literature reaches this conclusion by estimating </w:t>
      </w:r>
      <w:r w:rsidR="00322263">
        <w:t xml:space="preserve">hedonic price equations relating house prices to observable measures of school quality (see Gibbons and Machin, 2008, </w:t>
      </w:r>
      <w:r w:rsidR="00343646">
        <w:t xml:space="preserve">or Black and Machin, 2010, </w:t>
      </w:r>
      <w:r w:rsidR="00322263">
        <w:t xml:space="preserve">for </w:t>
      </w:r>
      <w:r w:rsidR="00343646">
        <w:t xml:space="preserve">up to date </w:t>
      </w:r>
      <w:r w:rsidR="00322263">
        <w:t>survey</w:t>
      </w:r>
      <w:r w:rsidR="00343646">
        <w:t>s</w:t>
      </w:r>
      <w:r w:rsidR="00322263">
        <w:t xml:space="preserve"> of this literature). A lot of the research in this area finds that school quality is capitalized into significantly higher housing valuations</w:t>
      </w:r>
      <w:r w:rsidR="00B25F23">
        <w:t xml:space="preserve"> in many different settings across the world</w:t>
      </w:r>
      <w:r w:rsidR="00322263">
        <w:t xml:space="preserve">.  </w:t>
      </w:r>
    </w:p>
    <w:p w:rsidR="00322263" w:rsidRDefault="00322263" w:rsidP="00A71919">
      <w:pPr>
        <w:spacing w:line="480" w:lineRule="auto"/>
        <w:jc w:val="both"/>
      </w:pPr>
      <w:r>
        <w:tab/>
      </w:r>
      <w:r w:rsidR="002B7530">
        <w:t>In this literature on housing valuations</w:t>
      </w:r>
      <w:r w:rsidR="00186791">
        <w:t>,</w:t>
      </w:r>
      <w:r w:rsidR="002B7530">
        <w:t xml:space="preserve"> it is typical to correlate house prices with measures of school quality whilst children</w:t>
      </w:r>
      <w:r w:rsidR="006064D7">
        <w:t xml:space="preserve"> are at school. </w:t>
      </w:r>
      <w:r>
        <w:t>One key issue</w:t>
      </w:r>
      <w:r w:rsidR="002B7530">
        <w:t>, that remains completely unexplored</w:t>
      </w:r>
      <w:r w:rsidR="00974B32">
        <w:t xml:space="preserve"> to date</w:t>
      </w:r>
      <w:r w:rsidR="002B7530">
        <w:t xml:space="preserve">, is the </w:t>
      </w:r>
      <w:r>
        <w:t xml:space="preserve">extent to which the often sizable empirical connections between house prices and school performance </w:t>
      </w:r>
      <w:r w:rsidR="00C8700D">
        <w:t xml:space="preserve">could </w:t>
      </w:r>
      <w:r>
        <w:t>arise from the strategic behaviour of parents moving house into locations where they perceive there to b</w:t>
      </w:r>
      <w:r w:rsidR="002B7530">
        <w:t xml:space="preserve">e superior school performance. Highly pertinent to this is the question of </w:t>
      </w:r>
      <w:r>
        <w:t>whether parents try to move house before their childr</w:t>
      </w:r>
      <w:r w:rsidR="002B7530">
        <w:t xml:space="preserve">en start their school careers. </w:t>
      </w:r>
      <w:r>
        <w:t xml:space="preserve">Existing work has not been able to say much about these important </w:t>
      </w:r>
      <w:r w:rsidR="004F16B6">
        <w:t xml:space="preserve">questions, since it is rare to have a data source </w:t>
      </w:r>
      <w:r>
        <w:t>connect</w:t>
      </w:r>
      <w:r w:rsidR="004F16B6">
        <w:t>ing</w:t>
      </w:r>
      <w:r>
        <w:t xml:space="preserve"> housing transactions to </w:t>
      </w:r>
      <w:r w:rsidR="00B54610">
        <w:t>schools that</w:t>
      </w:r>
      <w:r w:rsidR="004F16B6">
        <w:t xml:space="preserve"> can be matched to </w:t>
      </w:r>
      <w:r>
        <w:t>data on the de</w:t>
      </w:r>
      <w:r w:rsidR="004F16B6">
        <w:t>mographic make up of households with children in their early years</w:t>
      </w:r>
      <w:r w:rsidR="00B54610">
        <w:t>.</w:t>
      </w:r>
    </w:p>
    <w:p w:rsidR="00322263" w:rsidRDefault="00322263" w:rsidP="006E3544">
      <w:pPr>
        <w:spacing w:line="480" w:lineRule="auto"/>
        <w:jc w:val="both"/>
      </w:pPr>
      <w:r>
        <w:tab/>
        <w:t xml:space="preserve">In this </w:t>
      </w:r>
      <w:r w:rsidR="00C50B7C">
        <w:t>paper,</w:t>
      </w:r>
      <w:r>
        <w:t xml:space="preserve"> we are able to </w:t>
      </w:r>
      <w:r w:rsidR="00B25F23">
        <w:t>offer the first evidence on this issue</w:t>
      </w:r>
      <w:r w:rsidR="006064D7">
        <w:t xml:space="preserve"> using rich data from the Millennium Cohort Study (MCS), a cohort of around 19,000 children born in the UK at the start of the 2000s. The data contain information on whether parents move house </w:t>
      </w:r>
      <w:r>
        <w:t xml:space="preserve">for education related reasons </w:t>
      </w:r>
      <w:r w:rsidR="00A71919">
        <w:t xml:space="preserve">in the pre-school years. </w:t>
      </w:r>
      <w:r w:rsidR="006064D7">
        <w:t>We are also able to link h</w:t>
      </w:r>
      <w:r>
        <w:t>ous</w:t>
      </w:r>
      <w:r w:rsidR="006064D7">
        <w:t>e</w:t>
      </w:r>
      <w:r>
        <w:t xml:space="preserve"> prices to measures of school quality for a sample of young children and their families in the UK. We </w:t>
      </w:r>
      <w:r w:rsidR="008F13BC">
        <w:t xml:space="preserve">can </w:t>
      </w:r>
      <w:r w:rsidR="006064D7">
        <w:t xml:space="preserve">therefore address the question of whether parents move house in the pre-school </w:t>
      </w:r>
      <w:r w:rsidR="006064D7">
        <w:lastRenderedPageBreak/>
        <w:t xml:space="preserve">years </w:t>
      </w:r>
      <w:r w:rsidR="00C10A81">
        <w:t>to</w:t>
      </w:r>
      <w:r w:rsidR="006064D7">
        <w:t xml:space="preserve"> get their children into better performing primary schools </w:t>
      </w:r>
      <w:r w:rsidR="00A71919">
        <w:t xml:space="preserve">both </w:t>
      </w:r>
      <w:r w:rsidR="006064D7">
        <w:t>by analysing</w:t>
      </w:r>
      <w:r>
        <w:t xml:space="preserve"> survey data on actual house moves, and on reasons for moving, together with </w:t>
      </w:r>
      <w:r w:rsidR="00A71919">
        <w:t xml:space="preserve">looking at </w:t>
      </w:r>
      <w:r>
        <w:t>house price trans</w:t>
      </w:r>
      <w:r w:rsidR="006064D7">
        <w:t xml:space="preserve">action data matched to </w:t>
      </w:r>
      <w:r w:rsidR="008F13BC">
        <w:t>measures of local school quality</w:t>
      </w:r>
      <w:r w:rsidR="006064D7">
        <w:t>.</w:t>
      </w:r>
    </w:p>
    <w:p w:rsidR="00B25F23" w:rsidRDefault="00322263" w:rsidP="00A71919">
      <w:pPr>
        <w:spacing w:line="480" w:lineRule="auto"/>
        <w:ind w:firstLine="720"/>
        <w:jc w:val="both"/>
      </w:pPr>
      <w:r>
        <w:t xml:space="preserve">We present results showing that education related house moves do in fact </w:t>
      </w:r>
      <w:r w:rsidR="00B25F23">
        <w:t xml:space="preserve">frequently </w:t>
      </w:r>
      <w:r>
        <w:t>occur in the pre-school years</w:t>
      </w:r>
      <w:r w:rsidR="00B25F23">
        <w:t xml:space="preserve">. We also report evidence showing </w:t>
      </w:r>
      <w:r>
        <w:t xml:space="preserve">that parents are prepared to pay significant sums of money to buy a house located near to </w:t>
      </w:r>
      <w:r w:rsidR="00B25F23">
        <w:t xml:space="preserve">a </w:t>
      </w:r>
      <w:r w:rsidR="00822A44">
        <w:t>bett</w:t>
      </w:r>
      <w:r w:rsidR="00B25F23">
        <w:t>er performing primary school, even</w:t>
      </w:r>
      <w:r w:rsidR="00974B32">
        <w:t xml:space="preserve"> before their children reach school starting age</w:t>
      </w:r>
      <w:r w:rsidR="006064D7">
        <w:t xml:space="preserve">. </w:t>
      </w:r>
      <w:r w:rsidR="00B25F23">
        <w:t xml:space="preserve">We interpret this as compelling evidence for the hypothesis of strong demand for school quality in the early years as parents (especially more educated and well-to-do parents) ‘gear up’ their quest for what they perceive to be better schooling for their children before they </w:t>
      </w:r>
      <w:r w:rsidR="00A71919">
        <w:t xml:space="preserve">actually </w:t>
      </w:r>
      <w:r w:rsidR="00B25F23">
        <w:t>start school.</w:t>
      </w:r>
    </w:p>
    <w:p w:rsidR="00A71919" w:rsidRDefault="00A71919" w:rsidP="00A71919">
      <w:pPr>
        <w:spacing w:line="480" w:lineRule="auto"/>
        <w:ind w:firstLine="720"/>
        <w:jc w:val="both"/>
      </w:pPr>
      <w:r>
        <w:t xml:space="preserve">These are potentially important findings for those who assert that early age outcomes matter strongly for later </w:t>
      </w:r>
      <w:r w:rsidR="0050351F">
        <w:t xml:space="preserve">life as </w:t>
      </w:r>
      <w:r>
        <w:t xml:space="preserve">education in the early years </w:t>
      </w:r>
      <w:r w:rsidR="0050351F">
        <w:t>are</w:t>
      </w:r>
      <w:r>
        <w:t xml:space="preserve"> a key predictor of later economic and social success (see</w:t>
      </w:r>
      <w:r w:rsidR="00732EB6">
        <w:t xml:space="preserve">, </w:t>
      </w:r>
      <w:r w:rsidR="00732EB6" w:rsidRPr="00732EB6">
        <w:rPr>
          <w:i/>
        </w:rPr>
        <w:t>inter alia</w:t>
      </w:r>
      <w:r w:rsidR="00732EB6">
        <w:t>,</w:t>
      </w:r>
      <w:r>
        <w:t xml:space="preserve"> </w:t>
      </w:r>
      <w:r w:rsidR="00732EB6">
        <w:t xml:space="preserve">Blau and Currie, 2006, or </w:t>
      </w:r>
      <w:r>
        <w:t xml:space="preserve">Heckman </w:t>
      </w:r>
      <w:r w:rsidR="00233A37">
        <w:t xml:space="preserve">and Masterov, </w:t>
      </w:r>
      <w:r w:rsidR="00732EB6">
        <w:t>2007</w:t>
      </w:r>
      <w:r>
        <w:t xml:space="preserve">). They also provide some evidence on a mechanism that can explain why </w:t>
      </w:r>
      <w:r w:rsidR="00233A37">
        <w:t xml:space="preserve">children </w:t>
      </w:r>
      <w:r>
        <w:t xml:space="preserve">start school </w:t>
      </w:r>
      <w:r w:rsidR="00233A37">
        <w:t xml:space="preserve">with significant differences in measured academic ability </w:t>
      </w:r>
      <w:r>
        <w:t xml:space="preserve">(Goodman et al, 2009). The sorting of better resourced parents of school age children into areas with better performing schools </w:t>
      </w:r>
      <w:r w:rsidR="0050351F">
        <w:t xml:space="preserve">in the pre-school years are very likely to be a key determinant of </w:t>
      </w:r>
      <w:r w:rsidR="00233A37">
        <w:t xml:space="preserve">academic surpluses and deficits that different children </w:t>
      </w:r>
      <w:r w:rsidR="0040239A">
        <w:t>face</w:t>
      </w:r>
      <w:r w:rsidR="00233A37">
        <w:t xml:space="preserve"> at the beginning of their school careers.</w:t>
      </w:r>
    </w:p>
    <w:p w:rsidR="00747BED" w:rsidRDefault="00822A44" w:rsidP="00747BED">
      <w:pPr>
        <w:spacing w:line="480" w:lineRule="auto"/>
        <w:ind w:firstLine="720"/>
        <w:jc w:val="both"/>
      </w:pPr>
      <w:r>
        <w:t xml:space="preserve">The rest of the paper is structured as follows.  In Section II we </w:t>
      </w:r>
      <w:r w:rsidR="00747BED">
        <w:t xml:space="preserve">present evidence on the extent to which moving house occurs for families with young children, placing a particular emphasis on documenting the extent to which people move for education related reasons and identifying the characteristics of </w:t>
      </w:r>
      <w:r w:rsidR="00B25F23">
        <w:t xml:space="preserve">children and </w:t>
      </w:r>
      <w:r w:rsidR="00747BED">
        <w:t xml:space="preserve">families who are more likely to </w:t>
      </w:r>
      <w:r w:rsidR="00C3060C">
        <w:lastRenderedPageBreak/>
        <w:t xml:space="preserve">do so. </w:t>
      </w:r>
      <w:r w:rsidR="00747BED">
        <w:t>Sec</w:t>
      </w:r>
      <w:r w:rsidR="00B25F23">
        <w:t>tion III present</w:t>
      </w:r>
      <w:r w:rsidR="00747BED">
        <w:t xml:space="preserve">s a more formal statistical analysis reporting </w:t>
      </w:r>
      <w:r w:rsidR="00C3060C">
        <w:t xml:space="preserve">estimates of </w:t>
      </w:r>
      <w:r w:rsidR="00747BED">
        <w:t>equations relating house prices to measures of school performance and other possible aspects of parental demand for schooling.  Section IV concludes.</w:t>
      </w:r>
    </w:p>
    <w:p w:rsidR="00656981" w:rsidRDefault="00656981" w:rsidP="00747BED">
      <w:pPr>
        <w:spacing w:line="480" w:lineRule="auto"/>
        <w:ind w:firstLine="720"/>
        <w:jc w:val="both"/>
      </w:pPr>
    </w:p>
    <w:p w:rsidR="00747BED" w:rsidRPr="00A1783A" w:rsidRDefault="00747BED" w:rsidP="00A1783A">
      <w:pPr>
        <w:spacing w:line="480" w:lineRule="auto"/>
        <w:jc w:val="both"/>
        <w:rPr>
          <w:u w:val="single"/>
        </w:rPr>
      </w:pPr>
      <w:r w:rsidRPr="00A1783A">
        <w:rPr>
          <w:u w:val="single"/>
        </w:rPr>
        <w:t xml:space="preserve">II. Moving House in the </w:t>
      </w:r>
      <w:r w:rsidR="00C3060C">
        <w:rPr>
          <w:u w:val="single"/>
        </w:rPr>
        <w:t>Pre-School Years</w:t>
      </w:r>
    </w:p>
    <w:p w:rsidR="00A1783A" w:rsidRPr="00A1783A" w:rsidRDefault="004C4388" w:rsidP="00186791">
      <w:pPr>
        <w:autoSpaceDE w:val="0"/>
        <w:autoSpaceDN w:val="0"/>
        <w:adjustRightInd w:val="0"/>
        <w:spacing w:line="480" w:lineRule="auto"/>
        <w:ind w:firstLine="720"/>
        <w:jc w:val="both"/>
        <w:rPr>
          <w:rFonts w:cs="Minion-Regular"/>
          <w:szCs w:val="20"/>
          <w:lang w:val="en-US"/>
        </w:rPr>
      </w:pPr>
      <w:r w:rsidRPr="00A1783A">
        <w:t xml:space="preserve">The first </w:t>
      </w:r>
      <w:r w:rsidR="00D63DFB">
        <w:t xml:space="preserve">analysis </w:t>
      </w:r>
      <w:r w:rsidRPr="00A1783A">
        <w:t xml:space="preserve">we report </w:t>
      </w:r>
      <w:r w:rsidR="004F16B6">
        <w:t xml:space="preserve">upon </w:t>
      </w:r>
      <w:r w:rsidRPr="00A1783A">
        <w:t xml:space="preserve">is </w:t>
      </w:r>
      <w:r w:rsidR="00186791">
        <w:t xml:space="preserve">based on </w:t>
      </w:r>
      <w:r w:rsidRPr="00A1783A">
        <w:t xml:space="preserve">survey evidence on reasons for house moves drawn from the </w:t>
      </w:r>
      <w:r w:rsidR="00186791">
        <w:t>UK M</w:t>
      </w:r>
      <w:r w:rsidRPr="00A1783A">
        <w:t>illennium Cohort Study (MCS).  The MCS is</w:t>
      </w:r>
      <w:r w:rsidR="00A1783A" w:rsidRPr="00A1783A">
        <w:rPr>
          <w:rFonts w:cs="Minion-Regular"/>
          <w:szCs w:val="20"/>
          <w:lang w:val="en-US"/>
        </w:rPr>
        <w:t xml:space="preserve"> a longitudinal survey of around </w:t>
      </w:r>
      <w:r w:rsidR="00A1783A" w:rsidRPr="00A1783A">
        <w:rPr>
          <w:rFonts w:cs="Minion-RegularSC"/>
          <w:szCs w:val="20"/>
          <w:lang w:val="en-US"/>
        </w:rPr>
        <w:t>19</w:t>
      </w:r>
      <w:r w:rsidR="00A1783A" w:rsidRPr="00A1783A">
        <w:rPr>
          <w:rFonts w:cs="Minion-Regular"/>
          <w:szCs w:val="20"/>
          <w:lang w:val="en-US"/>
        </w:rPr>
        <w:t>,</w:t>
      </w:r>
      <w:r w:rsidR="00A1783A" w:rsidRPr="00A1783A">
        <w:rPr>
          <w:rFonts w:cs="Minion-RegularSC"/>
          <w:szCs w:val="20"/>
          <w:lang w:val="en-US"/>
        </w:rPr>
        <w:t xml:space="preserve">000 </w:t>
      </w:r>
      <w:r w:rsidR="00A1783A" w:rsidRPr="00A1783A">
        <w:rPr>
          <w:rFonts w:cs="Minion-Regular"/>
          <w:szCs w:val="20"/>
          <w:lang w:val="en-US"/>
        </w:rPr>
        <w:t xml:space="preserve">children born in the UK over a </w:t>
      </w:r>
      <w:r w:rsidR="00A1783A" w:rsidRPr="00A1783A">
        <w:rPr>
          <w:rFonts w:cs="Minion-RegularSC"/>
          <w:szCs w:val="20"/>
          <w:lang w:val="en-US"/>
        </w:rPr>
        <w:t>12</w:t>
      </w:r>
      <w:r w:rsidR="00A1783A" w:rsidRPr="00A1783A">
        <w:rPr>
          <w:rFonts w:cs="Minion-Regular"/>
          <w:szCs w:val="20"/>
          <w:lang w:val="en-US"/>
        </w:rPr>
        <w:t xml:space="preserve">-month period from </w:t>
      </w:r>
      <w:r w:rsidR="00A1783A" w:rsidRPr="00A1783A">
        <w:rPr>
          <w:rFonts w:cs="Minion-RegularSC"/>
          <w:szCs w:val="20"/>
          <w:lang w:val="en-US"/>
        </w:rPr>
        <w:t xml:space="preserve">2000 </w:t>
      </w:r>
      <w:r w:rsidR="00A1783A" w:rsidRPr="00A1783A">
        <w:rPr>
          <w:rFonts w:cs="Minion-Regular"/>
          <w:szCs w:val="20"/>
          <w:lang w:val="en-US"/>
        </w:rPr>
        <w:t xml:space="preserve">to </w:t>
      </w:r>
      <w:r w:rsidR="00A1783A" w:rsidRPr="00A1783A">
        <w:rPr>
          <w:rFonts w:cs="Minion-RegularSC"/>
          <w:szCs w:val="20"/>
          <w:lang w:val="en-US"/>
        </w:rPr>
        <w:t xml:space="preserve">2001 </w:t>
      </w:r>
      <w:r w:rsidR="00A1783A" w:rsidRPr="00A1783A">
        <w:rPr>
          <w:rFonts w:cs="Minion-Regular"/>
          <w:szCs w:val="20"/>
          <w:lang w:val="en-US"/>
        </w:rPr>
        <w:t>and living in selected UK wards. The first survey (MCS</w:t>
      </w:r>
      <w:r w:rsidR="00A1783A" w:rsidRPr="00A1783A">
        <w:rPr>
          <w:rFonts w:cs="Minion-RegularSC"/>
          <w:szCs w:val="20"/>
          <w:lang w:val="en-US"/>
        </w:rPr>
        <w:t>1</w:t>
      </w:r>
      <w:r w:rsidR="00A1783A" w:rsidRPr="00A1783A">
        <w:rPr>
          <w:rFonts w:cs="Minion-Regular"/>
          <w:szCs w:val="20"/>
          <w:lang w:val="en-US"/>
        </w:rPr>
        <w:t xml:space="preserve">) took place when the children were around nine months old. Follow up interviews took place when the children were three </w:t>
      </w:r>
      <w:r w:rsidR="00A1783A">
        <w:rPr>
          <w:rFonts w:cs="Minion-Regular"/>
          <w:szCs w:val="20"/>
          <w:lang w:val="en-US"/>
        </w:rPr>
        <w:t xml:space="preserve">(MCS2) </w:t>
      </w:r>
      <w:r w:rsidR="00A1783A" w:rsidRPr="00A1783A">
        <w:rPr>
          <w:rFonts w:cs="Minion-Regular"/>
          <w:szCs w:val="20"/>
          <w:lang w:val="en-US"/>
        </w:rPr>
        <w:t xml:space="preserve">and five </w:t>
      </w:r>
      <w:r w:rsidR="00A1783A">
        <w:rPr>
          <w:rFonts w:cs="Minion-Regular"/>
          <w:szCs w:val="20"/>
          <w:lang w:val="en-US"/>
        </w:rPr>
        <w:t xml:space="preserve">(MCS3) </w:t>
      </w:r>
      <w:r w:rsidR="00A1783A" w:rsidRPr="00A1783A">
        <w:rPr>
          <w:rFonts w:cs="Minion-Regular"/>
          <w:szCs w:val="20"/>
          <w:lang w:val="en-US"/>
        </w:rPr>
        <w:t>years old.</w:t>
      </w:r>
      <w:r w:rsidR="008F13BC">
        <w:rPr>
          <w:rStyle w:val="FootnoteReference"/>
          <w:rFonts w:cs="Minion-Regular"/>
          <w:szCs w:val="20"/>
          <w:lang w:val="en-US"/>
        </w:rPr>
        <w:footnoteReference w:id="1"/>
      </w:r>
      <w:r w:rsidR="00A1783A" w:rsidRPr="00A1783A">
        <w:rPr>
          <w:rFonts w:cs="Minion-Regular"/>
          <w:szCs w:val="20"/>
          <w:lang w:val="en-US"/>
        </w:rPr>
        <w:t xml:space="preserve"> </w:t>
      </w:r>
    </w:p>
    <w:p w:rsidR="00747BED" w:rsidRPr="00A1783A" w:rsidRDefault="00747BED" w:rsidP="00747BED">
      <w:pPr>
        <w:spacing w:line="480" w:lineRule="auto"/>
        <w:jc w:val="both"/>
        <w:rPr>
          <w:i/>
        </w:rPr>
      </w:pPr>
      <w:r w:rsidRPr="00A1783A">
        <w:rPr>
          <w:i/>
        </w:rPr>
        <w:t>MCS Data on Moving House</w:t>
      </w:r>
    </w:p>
    <w:p w:rsidR="004C4388" w:rsidRDefault="004C4388" w:rsidP="00747BED">
      <w:pPr>
        <w:spacing w:line="480" w:lineRule="auto"/>
        <w:jc w:val="both"/>
      </w:pPr>
      <w:r w:rsidRPr="00A1783A">
        <w:tab/>
      </w:r>
      <w:r w:rsidR="00D63DFB">
        <w:t>Information on moving house is captured in the MCS in two ways. Firstly, p</w:t>
      </w:r>
      <w:r w:rsidRPr="00A1783A">
        <w:t xml:space="preserve">arents of MCS cohort members were asked whether they moved house between </w:t>
      </w:r>
      <w:r w:rsidR="00A1783A">
        <w:t>sweeps</w:t>
      </w:r>
      <w:r w:rsidR="00186791">
        <w:t xml:space="preserve"> of the MCS</w:t>
      </w:r>
      <w:r w:rsidRPr="00A1783A">
        <w:t xml:space="preserve">. </w:t>
      </w:r>
      <w:r w:rsidR="004F16B6">
        <w:t>In addition,</w:t>
      </w:r>
      <w:r w:rsidR="00D63DFB">
        <w:t xml:space="preserve"> w</w:t>
      </w:r>
      <w:r w:rsidRPr="00A1783A">
        <w:t>e can also work out house moves from postcode changes across</w:t>
      </w:r>
      <w:r>
        <w:t xml:space="preserve"> </w:t>
      </w:r>
      <w:r w:rsidR="00186791">
        <w:t>s</w:t>
      </w:r>
      <w:r w:rsidR="00A1783A">
        <w:t>weep</w:t>
      </w:r>
      <w:r>
        <w:t xml:space="preserve">s. Both of these </w:t>
      </w:r>
      <w:r w:rsidR="00A229C3">
        <w:t>show a strong, although not</w:t>
      </w:r>
      <w:r>
        <w:t xml:space="preserve"> perfect, correspondence.</w:t>
      </w:r>
      <w:r w:rsidR="008F13BC">
        <w:rPr>
          <w:rStyle w:val="FootnoteReference"/>
        </w:rPr>
        <w:footnoteReference w:id="2"/>
      </w:r>
      <w:r>
        <w:t xml:space="preserve"> As </w:t>
      </w:r>
      <w:r w:rsidR="00C10A81">
        <w:t>such,</w:t>
      </w:r>
      <w:r>
        <w:t xml:space="preserve"> we look at both in our empirical analysis. Reassuringly the messages that emerge about the determinants of house moves – and the reasons for them – are extremely consistent for both mobility measures.</w:t>
      </w:r>
    </w:p>
    <w:p w:rsidR="00747BED" w:rsidRDefault="004C4388" w:rsidP="00747BED">
      <w:pPr>
        <w:spacing w:line="480" w:lineRule="auto"/>
        <w:jc w:val="both"/>
      </w:pPr>
      <w:r>
        <w:tab/>
        <w:t xml:space="preserve">The residential moves we can define are respectively between survey </w:t>
      </w:r>
      <w:r w:rsidR="00A1783A">
        <w:t xml:space="preserve">sweep </w:t>
      </w:r>
      <w:r>
        <w:t>1</w:t>
      </w:r>
      <w:r w:rsidR="00A1783A">
        <w:t xml:space="preserve"> (MCS1)</w:t>
      </w:r>
      <w:r>
        <w:t xml:space="preserve"> and </w:t>
      </w:r>
      <w:r w:rsidR="00A1783A">
        <w:t>sweep</w:t>
      </w:r>
      <w:r>
        <w:t xml:space="preserve"> 2</w:t>
      </w:r>
      <w:r w:rsidR="00A1783A">
        <w:t xml:space="preserve"> (MCS2)</w:t>
      </w:r>
      <w:r>
        <w:t xml:space="preserve">, and between </w:t>
      </w:r>
      <w:r w:rsidR="00A1783A">
        <w:t>sweep</w:t>
      </w:r>
      <w:r>
        <w:t xml:space="preserve"> 2</w:t>
      </w:r>
      <w:r w:rsidR="00A1783A">
        <w:t xml:space="preserve"> (MCS2)</w:t>
      </w:r>
      <w:r>
        <w:t xml:space="preserve"> and </w:t>
      </w:r>
      <w:r w:rsidR="00A1783A">
        <w:t>sweep</w:t>
      </w:r>
      <w:r>
        <w:t xml:space="preserve"> 3</w:t>
      </w:r>
      <w:r w:rsidR="00A1783A">
        <w:t xml:space="preserve"> (MCS3)</w:t>
      </w:r>
      <w:r>
        <w:t xml:space="preserve">. The three </w:t>
      </w:r>
      <w:r w:rsidR="00A1783A">
        <w:t>sweep</w:t>
      </w:r>
      <w:r>
        <w:t xml:space="preserve">s of the surveys took place at child ages 9 months, 3 years and 5 years. Given the slight difference in time elapsed between survey </w:t>
      </w:r>
      <w:r w:rsidR="00A1783A">
        <w:t xml:space="preserve">sweeps </w:t>
      </w:r>
      <w:r>
        <w:t>Table 1 shows annu</w:t>
      </w:r>
      <w:r w:rsidR="008F13BC">
        <w:t xml:space="preserve">alised </w:t>
      </w:r>
      <w:r w:rsidR="008F13BC">
        <w:lastRenderedPageBreak/>
        <w:t xml:space="preserve">moving rates between </w:t>
      </w:r>
      <w:r>
        <w:t xml:space="preserve">the </w:t>
      </w:r>
      <w:r w:rsidR="00A1783A">
        <w:t>sweep</w:t>
      </w:r>
      <w:r w:rsidR="008F13BC">
        <w:t xml:space="preserve"> </w:t>
      </w:r>
      <w:r w:rsidR="00A1783A">
        <w:t>1</w:t>
      </w:r>
      <w:r>
        <w:t xml:space="preserve">-2 and </w:t>
      </w:r>
      <w:r w:rsidR="00A1783A">
        <w:t>sweep</w:t>
      </w:r>
      <w:r>
        <w:t xml:space="preserve"> 2-3 periods.  Since – as we discuss in more detail below – our principal focus is on moves for education-related reasons we not only look at the full sample of MCS families, but also focus upon those families where the cohort member is the oldest sibling. The reason for doing so is obvious, namely that house moves for education-related reasons may well have already occurred if there are older siblings in the family.</w:t>
      </w:r>
    </w:p>
    <w:p w:rsidR="004C4388" w:rsidRPr="004C4388" w:rsidRDefault="004C4388" w:rsidP="00747BED">
      <w:pPr>
        <w:spacing w:line="480" w:lineRule="auto"/>
        <w:jc w:val="both"/>
      </w:pPr>
      <w:r>
        <w:tab/>
        <w:t>Table 1 shows high levels of residential mobility for the MCS</w:t>
      </w:r>
      <w:r w:rsidR="00186791">
        <w:t xml:space="preserve"> cohort. </w:t>
      </w:r>
      <w:r>
        <w:t xml:space="preserve">The annualised rate of mobility is </w:t>
      </w:r>
      <w:r w:rsidR="007A4073">
        <w:t xml:space="preserve">13 </w:t>
      </w:r>
      <w:r>
        <w:t xml:space="preserve">percent for all MCS households between </w:t>
      </w:r>
      <w:r w:rsidR="00A1783A">
        <w:t>sweep</w:t>
      </w:r>
      <w:r>
        <w:t xml:space="preserve">s 1 and 2 and </w:t>
      </w:r>
      <w:r w:rsidR="007A4073">
        <w:t xml:space="preserve">8 </w:t>
      </w:r>
      <w:r>
        <w:t xml:space="preserve">percent between </w:t>
      </w:r>
      <w:r w:rsidR="00A1783A">
        <w:t>sweep</w:t>
      </w:r>
      <w:r w:rsidR="00186791">
        <w:t xml:space="preserve">s 2 and 3. </w:t>
      </w:r>
      <w:r>
        <w:t xml:space="preserve">For the MCS households where the cohort member is the oldest child comparable percentages are </w:t>
      </w:r>
      <w:r w:rsidR="007A4073">
        <w:t xml:space="preserve">17 </w:t>
      </w:r>
      <w:r>
        <w:t xml:space="preserve">and </w:t>
      </w:r>
      <w:r w:rsidR="007A4073">
        <w:t xml:space="preserve">9 </w:t>
      </w:r>
      <w:r>
        <w:t>percent respectively.</w:t>
      </w:r>
    </w:p>
    <w:p w:rsidR="00747BED" w:rsidRPr="00747BED" w:rsidRDefault="00747BED" w:rsidP="00747BED">
      <w:pPr>
        <w:spacing w:line="480" w:lineRule="auto"/>
        <w:jc w:val="both"/>
        <w:rPr>
          <w:i/>
        </w:rPr>
      </w:pPr>
      <w:r w:rsidRPr="00747BED">
        <w:rPr>
          <w:i/>
        </w:rPr>
        <w:t>Moving House Across the Life Cycle</w:t>
      </w:r>
    </w:p>
    <w:p w:rsidR="00395930" w:rsidRPr="004C4388" w:rsidRDefault="004C4388" w:rsidP="00747BED">
      <w:pPr>
        <w:spacing w:line="480" w:lineRule="auto"/>
        <w:jc w:val="both"/>
      </w:pPr>
      <w:r w:rsidRPr="004C4388">
        <w:tab/>
        <w:t xml:space="preserve">Before </w:t>
      </w:r>
      <w:r w:rsidR="00186791">
        <w:t xml:space="preserve">looking in detail at </w:t>
      </w:r>
      <w:r>
        <w:t xml:space="preserve">reasons for moving, it is necessary to </w:t>
      </w:r>
      <w:r w:rsidR="00842D83">
        <w:t xml:space="preserve">acknowledge that the MCS </w:t>
      </w:r>
      <w:r>
        <w:t>is a particular c</w:t>
      </w:r>
      <w:r w:rsidR="00186791">
        <w:t xml:space="preserve">ohort of children and parents. </w:t>
      </w:r>
      <w:r>
        <w:t xml:space="preserve">In the period we </w:t>
      </w:r>
      <w:r w:rsidR="00186791">
        <w:t xml:space="preserve">study, the </w:t>
      </w:r>
      <w:r w:rsidR="00F35B95">
        <w:t xml:space="preserve">MCS </w:t>
      </w:r>
      <w:r>
        <w:t xml:space="preserve">children are young and </w:t>
      </w:r>
      <w:r w:rsidR="00395930">
        <w:t>it is well known that residential mobility is higher amongst families with small children.</w:t>
      </w:r>
      <w:r w:rsidR="00186791">
        <w:t xml:space="preserve"> </w:t>
      </w:r>
      <w:r w:rsidR="00395930">
        <w:t xml:space="preserve">This is </w:t>
      </w:r>
      <w:r w:rsidR="00186791">
        <w:t xml:space="preserve">corroborated by </w:t>
      </w:r>
      <w:r w:rsidR="00395930">
        <w:t>Figure 1</w:t>
      </w:r>
      <w:r w:rsidR="00186791">
        <w:t>,</w:t>
      </w:r>
      <w:r w:rsidR="00395930">
        <w:t xml:space="preserve"> which shows mobility rates for different types of households in the British Household Panel Study (BHPS).</w:t>
      </w:r>
      <w:r w:rsidR="00395930">
        <w:rPr>
          <w:rStyle w:val="FootnoteReference"/>
        </w:rPr>
        <w:footnoteReference w:id="3"/>
      </w:r>
      <w:r w:rsidR="00395930">
        <w:t xml:space="preserve"> The Figure (taken from Buck, </w:t>
      </w:r>
      <w:r w:rsidR="007455FC">
        <w:t>2000</w:t>
      </w:r>
      <w:r w:rsidR="00395930">
        <w:t xml:space="preserve">) shows </w:t>
      </w:r>
      <w:r w:rsidR="007A4073">
        <w:t xml:space="preserve">around 15 percent of families with a child under 5 move compared to less than 10 percent of families with children aged between 5 and 15.  </w:t>
      </w:r>
    </w:p>
    <w:p w:rsidR="00747BED" w:rsidRPr="00747BED" w:rsidRDefault="00747BED" w:rsidP="00747BED">
      <w:pPr>
        <w:spacing w:line="480" w:lineRule="auto"/>
        <w:jc w:val="both"/>
        <w:rPr>
          <w:i/>
        </w:rPr>
      </w:pPr>
      <w:r w:rsidRPr="00747BED">
        <w:rPr>
          <w:i/>
        </w:rPr>
        <w:t>Reasons For Moving House</w:t>
      </w:r>
      <w:r>
        <w:rPr>
          <w:i/>
        </w:rPr>
        <w:t xml:space="preserve"> in the MCS</w:t>
      </w:r>
    </w:p>
    <w:p w:rsidR="00747BED" w:rsidRDefault="00395930" w:rsidP="00747BED">
      <w:pPr>
        <w:spacing w:line="480" w:lineRule="auto"/>
        <w:jc w:val="both"/>
      </w:pPr>
      <w:r w:rsidRPr="00395930">
        <w:tab/>
        <w:t xml:space="preserve">One </w:t>
      </w:r>
      <w:r>
        <w:t>very nice feature of the MCS is that it contains detailed information on</w:t>
      </w:r>
      <w:r w:rsidR="00F35B95">
        <w:t xml:space="preserve"> the reasons for moving house. </w:t>
      </w:r>
      <w:r>
        <w:t xml:space="preserve">Importantly from our perspective (and this is not the case in </w:t>
      </w:r>
      <w:r>
        <w:lastRenderedPageBreak/>
        <w:t xml:space="preserve">many other surveys which contain data on residential moves) one of the possible </w:t>
      </w:r>
      <w:r w:rsidR="008F13BC">
        <w:t xml:space="preserve">responses parents </w:t>
      </w:r>
      <w:r w:rsidR="00D63DFB">
        <w:t>can</w:t>
      </w:r>
      <w:r w:rsidR="008F13BC">
        <w:t xml:space="preserve"> give</w:t>
      </w:r>
      <w:r w:rsidR="00D63DFB">
        <w:t xml:space="preserve"> for moving house </w:t>
      </w:r>
      <w:r w:rsidR="008F13BC">
        <w:t>is</w:t>
      </w:r>
      <w:r w:rsidR="00D63DFB">
        <w:t xml:space="preserve"> for</w:t>
      </w:r>
      <w:r w:rsidR="008F13BC">
        <w:t xml:space="preserve"> ‘</w:t>
      </w:r>
      <w:r w:rsidR="004F16B6">
        <w:t>C</w:t>
      </w:r>
      <w:r>
        <w:t>hildren’s education’.</w:t>
      </w:r>
    </w:p>
    <w:p w:rsidR="00395930" w:rsidRDefault="00395930" w:rsidP="00747BED">
      <w:pPr>
        <w:spacing w:line="480" w:lineRule="auto"/>
        <w:jc w:val="both"/>
      </w:pPr>
      <w:r>
        <w:tab/>
        <w:t xml:space="preserve">Table 2 summarises reasons given for moving, for the full sample of movers and for those where the cohort member is the oldest child. Given </w:t>
      </w:r>
      <w:r w:rsidR="00842D83">
        <w:t>our focus on</w:t>
      </w:r>
      <w:r>
        <w:t xml:space="preserve"> families with small children, it is not surprising that the most popular reason given for moving is ‘larger </w:t>
      </w:r>
      <w:r w:rsidR="00842D83">
        <w:t>or better home’. A</w:t>
      </w:r>
      <w:r>
        <w:t xml:space="preserve">round half of movers state this for both samples in both </w:t>
      </w:r>
      <w:r w:rsidR="00A1783A">
        <w:t>sweep</w:t>
      </w:r>
      <w:r>
        <w:t xml:space="preserve"> 1-2 and 2-3 situations. In </w:t>
      </w:r>
      <w:r w:rsidR="00A1783A">
        <w:t>sweep</w:t>
      </w:r>
      <w:r w:rsidR="008F13BC">
        <w:t xml:space="preserve"> 1-2 moving for ‘C</w:t>
      </w:r>
      <w:r>
        <w:t xml:space="preserve">hildren’s education’ is the third highest reason (at 11 percent for the full sample and slightly higher at 13 percent for the oldest child sample).  In the </w:t>
      </w:r>
      <w:r w:rsidR="00A1783A">
        <w:t>sweep</w:t>
      </w:r>
      <w:r>
        <w:t xml:space="preserve"> 2-3 comparison it is the second most popular reason and is cited more frequently, presumably as children get closer to school starting age, at 18 percent for all movers and 20 percent for movers where the cohort member is the oldest child.</w:t>
      </w:r>
    </w:p>
    <w:p w:rsidR="00395930" w:rsidRPr="00395930" w:rsidRDefault="00395930" w:rsidP="00747BED">
      <w:pPr>
        <w:spacing w:line="480" w:lineRule="auto"/>
        <w:jc w:val="both"/>
      </w:pPr>
      <w:r>
        <w:tab/>
        <w:t xml:space="preserve">The survey evidence on MCS children thus reveals that quite a sizable number of parents </w:t>
      </w:r>
      <w:r w:rsidR="00B25F23">
        <w:t xml:space="preserve">say they </w:t>
      </w:r>
      <w:r>
        <w:t>move house for education related reasons</w:t>
      </w:r>
      <w:r w:rsidR="00E32610">
        <w:t xml:space="preserve"> before their children start school.  One natural question that follows is whether the characteristics of people moving for education related reasons are any different from house movers in general and we turn to this next. </w:t>
      </w:r>
      <w:r>
        <w:t xml:space="preserve">     </w:t>
      </w:r>
    </w:p>
    <w:p w:rsidR="00747BED" w:rsidRPr="00747BED" w:rsidRDefault="00747BED" w:rsidP="00747BED">
      <w:pPr>
        <w:spacing w:line="480" w:lineRule="auto"/>
        <w:jc w:val="both"/>
        <w:rPr>
          <w:i/>
        </w:rPr>
      </w:pPr>
      <w:r w:rsidRPr="00747BED">
        <w:rPr>
          <w:i/>
        </w:rPr>
        <w:t>Empirical Models of Moving House</w:t>
      </w:r>
    </w:p>
    <w:p w:rsidR="003A3951" w:rsidRDefault="00E32610" w:rsidP="00E32610">
      <w:pPr>
        <w:spacing w:line="480" w:lineRule="auto"/>
        <w:ind w:firstLine="720"/>
        <w:jc w:val="both"/>
      </w:pPr>
      <w:r>
        <w:t xml:space="preserve">There is a large micro-data based literature that studies what kinds of people are more likely to move house (see </w:t>
      </w:r>
      <w:r w:rsidR="0029581C">
        <w:t>Boheim and Taylor, 2002; Hughes et al., 2007; Boyle et al., 2008; Ketende and MacDonald, 2008</w:t>
      </w:r>
      <w:r>
        <w:t>).</w:t>
      </w:r>
      <w:r w:rsidR="003A3951">
        <w:t xml:space="preserve"> A lot of this estimates descriptive </w:t>
      </w:r>
      <w:r w:rsidR="00B25F23">
        <w:t xml:space="preserve">empirical </w:t>
      </w:r>
      <w:r w:rsidR="003A3951">
        <w:t xml:space="preserve">models </w:t>
      </w:r>
      <w:r w:rsidR="00B25F23">
        <w:t>in an attempt to ascertain the types of people have</w:t>
      </w:r>
      <w:r w:rsidR="003A3951">
        <w:t xml:space="preserve"> higher moving probabilities</w:t>
      </w:r>
      <w:r w:rsidR="00B25F23">
        <w:t xml:space="preserve">. We also </w:t>
      </w:r>
      <w:r w:rsidR="003A3951">
        <w:t xml:space="preserve">begin in this vein, first to document the characteristics of MCS families </w:t>
      </w:r>
      <w:r w:rsidR="00A1783A">
        <w:t xml:space="preserve">who </w:t>
      </w:r>
      <w:r w:rsidR="003A3951">
        <w:t>move house for any reason, then studying whether one can see differences between those who move for education-related reasons relative to moving for other reasons.</w:t>
      </w:r>
    </w:p>
    <w:p w:rsidR="00494E50" w:rsidRDefault="003A3951" w:rsidP="00F35B95">
      <w:pPr>
        <w:spacing w:line="480" w:lineRule="auto"/>
        <w:ind w:firstLine="720"/>
        <w:jc w:val="both"/>
      </w:pPr>
      <w:r>
        <w:lastRenderedPageBreak/>
        <w:t xml:space="preserve">The probability of moving house </w:t>
      </w:r>
      <w:r w:rsidR="00A229C3">
        <w:t xml:space="preserve">for family i </w:t>
      </w:r>
      <w:r w:rsidR="00B25F23">
        <w:t xml:space="preserve">can be </w:t>
      </w:r>
      <w:r>
        <w:t>modelled by means of a simple probit of the form</w:t>
      </w:r>
      <w:r w:rsidR="00D63DFB">
        <w:t>:</w:t>
      </w:r>
    </w:p>
    <w:tbl>
      <w:tblPr>
        <w:tblW w:w="0" w:type="auto"/>
        <w:jc w:val="center"/>
        <w:tblBorders>
          <w:insideH w:val="single" w:sz="4" w:space="0" w:color="auto"/>
        </w:tblBorders>
        <w:tblLook w:val="01E0"/>
      </w:tblPr>
      <w:tblGrid>
        <w:gridCol w:w="8026"/>
        <w:gridCol w:w="496"/>
      </w:tblGrid>
      <w:tr w:rsidR="00494E50" w:rsidTr="00B54610">
        <w:trPr>
          <w:jc w:val="center"/>
        </w:trPr>
        <w:tc>
          <w:tcPr>
            <w:tcW w:w="8026" w:type="dxa"/>
          </w:tcPr>
          <w:p w:rsidR="00494E50" w:rsidRDefault="00494E50" w:rsidP="00B37002">
            <w:pPr>
              <w:jc w:val="center"/>
            </w:pPr>
            <w:r w:rsidRPr="00B37002">
              <w:rPr>
                <w:position w:val="-10"/>
              </w:rPr>
              <w:object w:dxaOrig="26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7.25pt" o:ole="">
                  <v:imagedata r:id="rId8" o:title=""/>
                </v:shape>
                <o:OLEObject Type="Embed" ProgID="Equation.3" ShapeID="_x0000_i1025" DrawAspect="Content" ObjectID="_1336992116" r:id="rId9"/>
              </w:object>
            </w:r>
          </w:p>
        </w:tc>
        <w:tc>
          <w:tcPr>
            <w:tcW w:w="496" w:type="dxa"/>
          </w:tcPr>
          <w:p w:rsidR="00494E50" w:rsidRDefault="00494E50" w:rsidP="00B37002">
            <w:pPr>
              <w:jc w:val="both"/>
            </w:pPr>
            <w:r>
              <w:t>(1)</w:t>
            </w:r>
          </w:p>
        </w:tc>
      </w:tr>
    </w:tbl>
    <w:p w:rsidR="00494E50" w:rsidRDefault="00494E50" w:rsidP="00494E50">
      <w:pPr>
        <w:jc w:val="both"/>
      </w:pPr>
    </w:p>
    <w:p w:rsidR="003A3951" w:rsidRDefault="003A3951" w:rsidP="003A3951">
      <w:pPr>
        <w:spacing w:line="480" w:lineRule="auto"/>
        <w:jc w:val="both"/>
      </w:pPr>
      <w:r>
        <w:t>where the binary dependent variable M equals 1 for those who move and 0 for thos</w:t>
      </w:r>
      <w:r w:rsidR="00AD6AFF">
        <w:t>e</w:t>
      </w:r>
      <w:r>
        <w:t xml:space="preserve"> who do not, </w:t>
      </w:r>
      <w:r w:rsidR="00B25F23">
        <w:t xml:space="preserve">Φ(.) denotes the standard normal distribution function, </w:t>
      </w:r>
      <w:r>
        <w:t xml:space="preserve">the elements of the X vector are the characteristics of MCS families we study and u is an error term.  The X’s we look at here are as follows: </w:t>
      </w:r>
      <w:r w:rsidR="00B54610">
        <w:t>gender of child,</w:t>
      </w:r>
      <w:r w:rsidR="00BA75AD">
        <w:t xml:space="preserve"> mother’s age, education and ethnicity, lone parent status, household income and housing tenure.</w:t>
      </w:r>
    </w:p>
    <w:p w:rsidR="00494E50" w:rsidRDefault="003A3951" w:rsidP="00494E50">
      <w:pPr>
        <w:spacing w:line="480" w:lineRule="auto"/>
        <w:jc w:val="both"/>
      </w:pPr>
      <w:r>
        <w:tab/>
        <w:t xml:space="preserve">Once we have established a set of characteristics of house movers we are then interested in whether these differ between parents moving for education-related reasons and those who </w:t>
      </w:r>
      <w:r w:rsidR="00A1783A">
        <w:t>move for other reasons</w:t>
      </w:r>
      <w:r>
        <w:t>.  To study this we estimate a conditional probit model of the probability of moving for education related reasons conditional upon moving as follows:</w:t>
      </w:r>
    </w:p>
    <w:tbl>
      <w:tblPr>
        <w:tblW w:w="0" w:type="auto"/>
        <w:tblBorders>
          <w:insideH w:val="single" w:sz="4" w:space="0" w:color="auto"/>
        </w:tblBorders>
        <w:tblLook w:val="01E0"/>
      </w:tblPr>
      <w:tblGrid>
        <w:gridCol w:w="8026"/>
        <w:gridCol w:w="496"/>
      </w:tblGrid>
      <w:tr w:rsidR="00494E50" w:rsidTr="00B37002">
        <w:tc>
          <w:tcPr>
            <w:tcW w:w="8026" w:type="dxa"/>
          </w:tcPr>
          <w:p w:rsidR="00494E50" w:rsidRDefault="00494E50" w:rsidP="00B37002">
            <w:pPr>
              <w:jc w:val="center"/>
            </w:pPr>
            <w:r w:rsidRPr="00B37002">
              <w:rPr>
                <w:position w:val="-10"/>
              </w:rPr>
              <w:object w:dxaOrig="3340" w:dyaOrig="340">
                <v:shape id="_x0000_i1026" type="#_x0000_t75" style="width:167.25pt;height:17.25pt" o:ole="">
                  <v:imagedata r:id="rId10" o:title=""/>
                </v:shape>
                <o:OLEObject Type="Embed" ProgID="Equation.3" ShapeID="_x0000_i1026" DrawAspect="Content" ObjectID="_1336992117" r:id="rId11"/>
              </w:object>
            </w:r>
          </w:p>
        </w:tc>
        <w:tc>
          <w:tcPr>
            <w:tcW w:w="496" w:type="dxa"/>
          </w:tcPr>
          <w:p w:rsidR="00494E50" w:rsidRDefault="00494E50" w:rsidP="00B37002">
            <w:pPr>
              <w:jc w:val="both"/>
            </w:pPr>
            <w:r>
              <w:t>(2)</w:t>
            </w:r>
          </w:p>
        </w:tc>
      </w:tr>
    </w:tbl>
    <w:p w:rsidR="00494E50" w:rsidRDefault="00494E50" w:rsidP="00494E50">
      <w:pPr>
        <w:jc w:val="both"/>
      </w:pPr>
    </w:p>
    <w:p w:rsidR="00747BED" w:rsidRDefault="003A3951" w:rsidP="003A3951">
      <w:pPr>
        <w:spacing w:line="480" w:lineRule="auto"/>
        <w:jc w:val="both"/>
      </w:pPr>
      <w:r>
        <w:t xml:space="preserve">where E </w:t>
      </w:r>
      <w:r w:rsidR="00AD6AFF">
        <w:t>is a binary variable equal to 1 for families moving for education-related reasons and 0 otherwise.</w:t>
      </w:r>
    </w:p>
    <w:p w:rsidR="00032AB9" w:rsidRDefault="00AD6AFF" w:rsidP="003A3951">
      <w:pPr>
        <w:spacing w:line="480" w:lineRule="auto"/>
        <w:jc w:val="both"/>
      </w:pPr>
      <w:r>
        <w:tab/>
        <w:t>Table 3 shows marginal effects (and associated standard errors) fro</w:t>
      </w:r>
      <w:r w:rsidR="00A2712E">
        <w:t>m probit models of moving house</w:t>
      </w:r>
      <w:r>
        <w:t xml:space="preserve"> </w:t>
      </w:r>
      <w:r w:rsidR="008F13BC">
        <w:t xml:space="preserve">(equation (1)) </w:t>
      </w:r>
      <w:r>
        <w:t xml:space="preserve">for the </w:t>
      </w:r>
      <w:r w:rsidR="00A1783A">
        <w:t>sweep</w:t>
      </w:r>
      <w:r>
        <w:t xml:space="preserve"> 1-2 and 2-3 time periods</w:t>
      </w:r>
      <w:r w:rsidR="00A2712E">
        <w:t>.  Three specifications are reported for each</w:t>
      </w:r>
      <w:r w:rsidR="00032AB9">
        <w:t xml:space="preserve">, with survey and postcode based mobility measures for </w:t>
      </w:r>
      <w:r>
        <w:t xml:space="preserve">the full MCS </w:t>
      </w:r>
      <w:r w:rsidR="00032AB9">
        <w:t xml:space="preserve">samples and, because these are so similar, just the survey based mobility measure for the </w:t>
      </w:r>
      <w:r>
        <w:t xml:space="preserve">oldest child samples.  From these descriptive statistical models, one can identify a number of important characteristics of MCS families who have higher probabilities of moving house. </w:t>
      </w:r>
    </w:p>
    <w:p w:rsidR="00032AB9" w:rsidRDefault="00032AB9" w:rsidP="003A3951">
      <w:pPr>
        <w:spacing w:line="480" w:lineRule="auto"/>
        <w:jc w:val="both"/>
      </w:pPr>
      <w:r>
        <w:tab/>
        <w:t>It is evident across all the specifications in the Table that:</w:t>
      </w:r>
    </w:p>
    <w:p w:rsidR="00032AB9" w:rsidRDefault="00032AB9" w:rsidP="00032AB9">
      <w:pPr>
        <w:spacing w:line="480" w:lineRule="auto"/>
        <w:jc w:val="both"/>
      </w:pPr>
      <w:r>
        <w:lastRenderedPageBreak/>
        <w:t>- MCS children with older parents are less likely to move;</w:t>
      </w:r>
    </w:p>
    <w:p w:rsidR="00AD6AFF" w:rsidRDefault="00032AB9" w:rsidP="00032AB9">
      <w:pPr>
        <w:spacing w:line="480" w:lineRule="auto"/>
        <w:jc w:val="both"/>
      </w:pPr>
      <w:r>
        <w:t>- higher income families are more mobile;</w:t>
      </w:r>
    </w:p>
    <w:p w:rsidR="00032AB9" w:rsidRDefault="00032AB9" w:rsidP="00032AB9">
      <w:pPr>
        <w:spacing w:line="480" w:lineRule="auto"/>
        <w:jc w:val="both"/>
      </w:pPr>
      <w:r>
        <w:t>- parents with higher educational qualifications are more likely to move;</w:t>
      </w:r>
    </w:p>
    <w:p w:rsidR="00032AB9" w:rsidRDefault="00032AB9" w:rsidP="00032AB9">
      <w:pPr>
        <w:spacing w:line="480" w:lineRule="auto"/>
        <w:jc w:val="both"/>
      </w:pPr>
      <w:r>
        <w:t>- families in social housing or rented properties are more likely to move.</w:t>
      </w:r>
    </w:p>
    <w:p w:rsidR="00032AB9" w:rsidRDefault="00032AB9" w:rsidP="00032AB9">
      <w:pPr>
        <w:spacing w:line="480" w:lineRule="auto"/>
        <w:jc w:val="both"/>
      </w:pPr>
      <w:r>
        <w:tab/>
        <w:t xml:space="preserve">This somewhat heterogeneous set of findings (i.e. individuals with higher and lower economic status characteristics) is in line with other work on the characteristics of people who are more residentially mobile.  From our </w:t>
      </w:r>
      <w:r w:rsidR="00C10A81">
        <w:t>perspective,</w:t>
      </w:r>
      <w:r>
        <w:t xml:space="preserve"> it is not these results that interest us </w:t>
      </w:r>
      <w:r w:rsidRPr="00032AB9">
        <w:rPr>
          <w:i/>
        </w:rPr>
        <w:t>per se</w:t>
      </w:r>
      <w:r>
        <w:t xml:space="preserve">, but whether the types of MCS families who move for education-related reasons are similar or different to other movers.  </w:t>
      </w:r>
    </w:p>
    <w:p w:rsidR="00032AB9" w:rsidRDefault="00032AB9" w:rsidP="00032AB9">
      <w:pPr>
        <w:spacing w:line="480" w:lineRule="auto"/>
        <w:ind w:firstLine="720"/>
        <w:jc w:val="both"/>
      </w:pPr>
      <w:r>
        <w:t>We turn our attention to this in Table 4 which show</w:t>
      </w:r>
      <w:r w:rsidR="00A1783A">
        <w:t>s the</w:t>
      </w:r>
      <w:r>
        <w:t xml:space="preserve"> marginal effects from the conditional probability models de</w:t>
      </w:r>
      <w:r w:rsidR="008F13BC">
        <w:t xml:space="preserve">scribed in equation (2) above. </w:t>
      </w:r>
      <w:r>
        <w:t xml:space="preserve">The results do indeed show that the characteristics of people who move house for education-related reasons relative to other reasons are different.  </w:t>
      </w:r>
      <w:r w:rsidR="00A1783A">
        <w:t>I</w:t>
      </w:r>
      <w:r>
        <w:t xml:space="preserve">t is very </w:t>
      </w:r>
      <w:r w:rsidR="008F13BC">
        <w:t xml:space="preserve">clearly </w:t>
      </w:r>
      <w:r>
        <w:t xml:space="preserve">the higher economic status families </w:t>
      </w:r>
      <w:r w:rsidR="00D63DFB">
        <w:t>who</w:t>
      </w:r>
      <w:r>
        <w:t xml:space="preserve"> are more likely to move for education-related reasons.  Indeed</w:t>
      </w:r>
      <w:r w:rsidR="00D63DFB">
        <w:t>,</w:t>
      </w:r>
      <w:r>
        <w:t xml:space="preserve"> the estimates in the Table show significantly higher probabilities </w:t>
      </w:r>
      <w:r w:rsidR="00D63DFB">
        <w:t xml:space="preserve">of moving for education related purposes </w:t>
      </w:r>
      <w:r>
        <w:t>for younger parents, those with more income and high</w:t>
      </w:r>
      <w:r w:rsidR="00EC4F3B">
        <w:t>er educational qualifications.  Lone parents and those in social housing are significantly less likely to move for education-related reasons, confirming that economic status is a very strong determinant of moving house for education.</w:t>
      </w:r>
      <w:r>
        <w:t xml:space="preserve">  </w:t>
      </w:r>
    </w:p>
    <w:p w:rsidR="00747BED" w:rsidRPr="00747BED" w:rsidRDefault="00747BED" w:rsidP="00747BED">
      <w:pPr>
        <w:spacing w:line="480" w:lineRule="auto"/>
        <w:jc w:val="both"/>
        <w:rPr>
          <w:i/>
        </w:rPr>
      </w:pPr>
      <w:r w:rsidRPr="00747BED">
        <w:rPr>
          <w:i/>
        </w:rPr>
        <w:t>Focu</w:t>
      </w:r>
      <w:r w:rsidR="00E32610">
        <w:rPr>
          <w:i/>
        </w:rPr>
        <w:t>ssing on Test Scores of Children</w:t>
      </w:r>
    </w:p>
    <w:p w:rsidR="00EC4F3B" w:rsidRDefault="00EC4F3B" w:rsidP="00747BED">
      <w:pPr>
        <w:spacing w:line="480" w:lineRule="auto"/>
        <w:jc w:val="both"/>
      </w:pPr>
      <w:r w:rsidRPr="00EC4F3B">
        <w:tab/>
        <w:t xml:space="preserve">Given the finding that </w:t>
      </w:r>
      <w:r>
        <w:t xml:space="preserve">parents with higher levels of economic status are significantly more likely to move house for education-related reasons it is also interesting to look at whether children of different abilities are more likely to be in households that </w:t>
      </w:r>
      <w:r>
        <w:lastRenderedPageBreak/>
        <w:t xml:space="preserve">move for this reason. We can </w:t>
      </w:r>
      <w:r w:rsidR="008F13BC">
        <w:t>study</w:t>
      </w:r>
      <w:r>
        <w:t xml:space="preserve"> this because the MCS tests children in their pre-school years.</w:t>
      </w:r>
    </w:p>
    <w:p w:rsidR="009A6BF0" w:rsidRDefault="00EC4F3B" w:rsidP="00F35B95">
      <w:pPr>
        <w:autoSpaceDE w:val="0"/>
        <w:autoSpaceDN w:val="0"/>
        <w:adjustRightInd w:val="0"/>
        <w:spacing w:line="480" w:lineRule="auto"/>
        <w:jc w:val="both"/>
        <w:rPr>
          <w:rFonts w:cs="Minion-Regular"/>
          <w:szCs w:val="20"/>
          <w:lang w:val="en-US"/>
        </w:rPr>
      </w:pPr>
      <w:r w:rsidRPr="009A6BF0">
        <w:tab/>
      </w:r>
      <w:r w:rsidR="009A6BF0">
        <w:t xml:space="preserve">At age </w:t>
      </w:r>
      <w:r w:rsidR="006D69B8">
        <w:t>3</w:t>
      </w:r>
      <w:r w:rsidR="00C50B7C">
        <w:t>,</w:t>
      </w:r>
      <w:r w:rsidR="009A6BF0">
        <w:t xml:space="preserve"> the MCS contain </w:t>
      </w:r>
      <w:r w:rsidR="008F13BC">
        <w:t xml:space="preserve">two </w:t>
      </w:r>
      <w:r w:rsidR="009A6BF0">
        <w:t xml:space="preserve">cognitive </w:t>
      </w:r>
      <w:r w:rsidR="00C50B7C">
        <w:t>tests that</w:t>
      </w:r>
      <w:r w:rsidR="009A6BF0" w:rsidRPr="009A6BF0">
        <w:rPr>
          <w:rFonts w:cs="Minion-Regular"/>
          <w:szCs w:val="20"/>
          <w:lang w:val="en-US"/>
        </w:rPr>
        <w:t xml:space="preserve"> measure slightly</w:t>
      </w:r>
      <w:r w:rsidR="009A6BF0">
        <w:rPr>
          <w:rFonts w:cs="Minion-Regular"/>
          <w:szCs w:val="20"/>
          <w:lang w:val="en-US"/>
        </w:rPr>
        <w:t xml:space="preserve"> </w:t>
      </w:r>
      <w:r w:rsidR="009A6BF0" w:rsidRPr="009A6BF0">
        <w:rPr>
          <w:rFonts w:cs="Minion-Regular"/>
          <w:szCs w:val="20"/>
          <w:lang w:val="en-US"/>
        </w:rPr>
        <w:t>dif</w:t>
      </w:r>
      <w:r w:rsidR="009A6BF0">
        <w:rPr>
          <w:rFonts w:cs="Minion-Regular"/>
          <w:szCs w:val="20"/>
          <w:lang w:val="en-US"/>
        </w:rPr>
        <w:t>ferent aspects of ability. The fi</w:t>
      </w:r>
      <w:r w:rsidR="009A6BF0" w:rsidRPr="009A6BF0">
        <w:rPr>
          <w:rFonts w:cs="Minion-Regular"/>
          <w:szCs w:val="20"/>
          <w:lang w:val="en-US"/>
        </w:rPr>
        <w:t>rst test is the British Ability Scale</w:t>
      </w:r>
      <w:r w:rsidR="009A6BF0">
        <w:rPr>
          <w:rFonts w:cs="Minion-Regular"/>
          <w:szCs w:val="20"/>
          <w:lang w:val="en-US"/>
        </w:rPr>
        <w:t xml:space="preserve"> </w:t>
      </w:r>
      <w:r w:rsidR="009A6BF0" w:rsidRPr="009A6BF0">
        <w:rPr>
          <w:rFonts w:cs="Minion-Regular"/>
          <w:szCs w:val="20"/>
          <w:lang w:val="en-US"/>
        </w:rPr>
        <w:t>(BAS), which is a naming vocabulary test where children are asked to identify a</w:t>
      </w:r>
      <w:r w:rsidR="009A6BF0">
        <w:rPr>
          <w:rFonts w:cs="Minion-Regular"/>
          <w:szCs w:val="20"/>
          <w:lang w:val="en-US"/>
        </w:rPr>
        <w:t xml:space="preserve"> </w:t>
      </w:r>
      <w:r w:rsidR="009A6BF0" w:rsidRPr="009A6BF0">
        <w:rPr>
          <w:rFonts w:cs="Minion-Regular"/>
          <w:szCs w:val="20"/>
          <w:lang w:val="en-US"/>
        </w:rPr>
        <w:t>range of items. This test assesses the expressive language ability of children. The</w:t>
      </w:r>
      <w:r w:rsidR="009A6BF0">
        <w:rPr>
          <w:rFonts w:cs="Minion-Regular"/>
          <w:szCs w:val="20"/>
          <w:lang w:val="en-US"/>
        </w:rPr>
        <w:t xml:space="preserve"> </w:t>
      </w:r>
      <w:r w:rsidR="009A6BF0" w:rsidRPr="009A6BF0">
        <w:rPr>
          <w:rFonts w:cs="Minion-Regular"/>
          <w:szCs w:val="20"/>
          <w:lang w:val="en-US"/>
        </w:rPr>
        <w:t>test is individually administered and asks the child to name a series of pictures of</w:t>
      </w:r>
      <w:r w:rsidR="009A6BF0">
        <w:rPr>
          <w:rFonts w:cs="Minion-Regular"/>
          <w:szCs w:val="20"/>
          <w:lang w:val="en-US"/>
        </w:rPr>
        <w:t xml:space="preserve"> </w:t>
      </w:r>
      <w:r w:rsidR="009A6BF0" w:rsidRPr="009A6BF0">
        <w:rPr>
          <w:rFonts w:cs="Minion-Regular"/>
          <w:szCs w:val="20"/>
          <w:lang w:val="en-US"/>
        </w:rPr>
        <w:t>everyday items. The second outcome measure is the School Readiness Composite, which is</w:t>
      </w:r>
      <w:r w:rsidR="009A6BF0">
        <w:rPr>
          <w:rFonts w:cs="Minion-Regular"/>
          <w:szCs w:val="20"/>
          <w:lang w:val="en-US"/>
        </w:rPr>
        <w:t xml:space="preserve"> </w:t>
      </w:r>
      <w:r w:rsidR="009A6BF0" w:rsidRPr="009A6BF0">
        <w:rPr>
          <w:rFonts w:cs="Minion-Regular"/>
          <w:szCs w:val="20"/>
          <w:lang w:val="en-US"/>
        </w:rPr>
        <w:t>comprised of six subtests of the Revised Bracken Basic Concept Scale. It measures</w:t>
      </w:r>
      <w:r w:rsidR="009A6BF0">
        <w:rPr>
          <w:rFonts w:cs="Minion-Regular"/>
          <w:szCs w:val="20"/>
          <w:lang w:val="en-US"/>
        </w:rPr>
        <w:t xml:space="preserve"> </w:t>
      </w:r>
      <w:r w:rsidR="009A6BF0" w:rsidRPr="009A6BF0">
        <w:rPr>
          <w:rFonts w:cs="Minion-Regular"/>
          <w:szCs w:val="20"/>
          <w:lang w:val="en-US"/>
        </w:rPr>
        <w:t>children’s knowledge of those ‘readiness’ concepts that parents and teachers</w:t>
      </w:r>
      <w:r w:rsidR="009A6BF0">
        <w:rPr>
          <w:rFonts w:cs="Minion-Regular"/>
          <w:szCs w:val="20"/>
          <w:lang w:val="en-US"/>
        </w:rPr>
        <w:t xml:space="preserve"> </w:t>
      </w:r>
      <w:r w:rsidR="009A6BF0" w:rsidRPr="009A6BF0">
        <w:rPr>
          <w:rFonts w:cs="Minion-Regular"/>
          <w:szCs w:val="20"/>
          <w:lang w:val="en-US"/>
        </w:rPr>
        <w:t xml:space="preserve">traditionally teach children in preparation for formal education (Bracken, </w:t>
      </w:r>
      <w:r w:rsidR="009A6BF0" w:rsidRPr="009A6BF0">
        <w:rPr>
          <w:rFonts w:cs="Minion-RegularSC"/>
          <w:szCs w:val="20"/>
          <w:lang w:val="en-US"/>
        </w:rPr>
        <w:t>1998</w:t>
      </w:r>
      <w:r w:rsidR="009A6BF0" w:rsidRPr="009A6BF0">
        <w:rPr>
          <w:rFonts w:cs="Minion-Regular"/>
          <w:szCs w:val="20"/>
          <w:lang w:val="en-US"/>
        </w:rPr>
        <w:t>).</w:t>
      </w:r>
      <w:r w:rsidR="009A6BF0">
        <w:rPr>
          <w:rFonts w:cs="Minion-Regular"/>
          <w:szCs w:val="20"/>
          <w:lang w:val="en-US"/>
        </w:rPr>
        <w:t xml:space="preserve"> </w:t>
      </w:r>
      <w:r w:rsidR="009A6BF0" w:rsidRPr="009A6BF0">
        <w:rPr>
          <w:rFonts w:cs="Minion-Regular"/>
          <w:szCs w:val="20"/>
          <w:lang w:val="en-US"/>
        </w:rPr>
        <w:t>The test has been designed for children aged between two years six months and</w:t>
      </w:r>
      <w:r w:rsidR="009A6BF0">
        <w:rPr>
          <w:rFonts w:cs="Minion-Regular"/>
          <w:szCs w:val="20"/>
          <w:lang w:val="en-US"/>
        </w:rPr>
        <w:t xml:space="preserve"> </w:t>
      </w:r>
      <w:r w:rsidR="009A6BF0" w:rsidRPr="009A6BF0">
        <w:rPr>
          <w:rFonts w:cs="Minion-Regular"/>
          <w:szCs w:val="20"/>
          <w:lang w:val="en-US"/>
        </w:rPr>
        <w:t>seven years eleven months. The six subtests that make up the assessment are</w:t>
      </w:r>
      <w:r w:rsidR="009A6BF0">
        <w:rPr>
          <w:rFonts w:cs="Minion-Regular"/>
          <w:szCs w:val="20"/>
          <w:lang w:val="en-US"/>
        </w:rPr>
        <w:t xml:space="preserve"> </w:t>
      </w:r>
      <w:r w:rsidR="009A6BF0" w:rsidRPr="009A6BF0">
        <w:rPr>
          <w:rFonts w:cs="Minion-Regular"/>
          <w:szCs w:val="20"/>
          <w:lang w:val="en-US"/>
        </w:rPr>
        <w:t>used to test children’s basic concepts of colours, letters, numbers/counting, sizes,</w:t>
      </w:r>
      <w:r w:rsidR="009A6BF0">
        <w:rPr>
          <w:rFonts w:cs="Minion-Regular"/>
          <w:szCs w:val="20"/>
          <w:lang w:val="en-US"/>
        </w:rPr>
        <w:t xml:space="preserve"> </w:t>
      </w:r>
      <w:r w:rsidR="009A6BF0" w:rsidRPr="009A6BF0">
        <w:rPr>
          <w:rFonts w:cs="Minion-Regular"/>
          <w:szCs w:val="20"/>
          <w:lang w:val="en-US"/>
        </w:rPr>
        <w:t>comparisons and shapes.</w:t>
      </w:r>
      <w:r w:rsidR="009A6BF0">
        <w:rPr>
          <w:rFonts w:cs="Minion-Regular"/>
          <w:szCs w:val="20"/>
          <w:lang w:val="en-US"/>
        </w:rPr>
        <w:t xml:space="preserve"> </w:t>
      </w:r>
    </w:p>
    <w:p w:rsidR="009A6BF0" w:rsidRPr="009A6BF0" w:rsidRDefault="009A6BF0" w:rsidP="006D69B8">
      <w:pPr>
        <w:autoSpaceDE w:val="0"/>
        <w:autoSpaceDN w:val="0"/>
        <w:adjustRightInd w:val="0"/>
        <w:spacing w:line="480" w:lineRule="auto"/>
        <w:ind w:firstLine="720"/>
        <w:jc w:val="both"/>
        <w:rPr>
          <w:rFonts w:cs="Minion-Regular"/>
          <w:szCs w:val="20"/>
          <w:lang w:val="en-US"/>
        </w:rPr>
      </w:pPr>
      <w:r>
        <w:rPr>
          <w:rFonts w:cs="Minion-Regular"/>
          <w:szCs w:val="20"/>
          <w:lang w:val="en-US"/>
        </w:rPr>
        <w:t xml:space="preserve">In </w:t>
      </w:r>
      <w:r w:rsidR="00C10A81">
        <w:rPr>
          <w:rFonts w:cs="Minion-Regular"/>
          <w:szCs w:val="20"/>
          <w:lang w:val="en-US"/>
        </w:rPr>
        <w:t>addition</w:t>
      </w:r>
      <w:r>
        <w:rPr>
          <w:rFonts w:cs="Minion-Regular"/>
          <w:szCs w:val="20"/>
          <w:lang w:val="en-US"/>
        </w:rPr>
        <w:t xml:space="preserve"> to the cognitive </w:t>
      </w:r>
      <w:r w:rsidR="00C10A81">
        <w:rPr>
          <w:rFonts w:cs="Minion-Regular"/>
          <w:szCs w:val="20"/>
          <w:lang w:val="en-US"/>
        </w:rPr>
        <w:t>tests,</w:t>
      </w:r>
      <w:r>
        <w:rPr>
          <w:rFonts w:cs="Minion-Regular"/>
          <w:szCs w:val="20"/>
          <w:lang w:val="en-US"/>
        </w:rPr>
        <w:t xml:space="preserve"> the MCS measures </w:t>
      </w:r>
      <w:r w:rsidR="00D63DFB">
        <w:rPr>
          <w:rFonts w:cs="Minion-Regular"/>
          <w:szCs w:val="20"/>
          <w:lang w:val="en-US"/>
        </w:rPr>
        <w:t xml:space="preserve">the </w:t>
      </w:r>
      <w:r>
        <w:rPr>
          <w:rFonts w:cs="Minion-Regular"/>
          <w:szCs w:val="20"/>
          <w:lang w:val="en-US"/>
        </w:rPr>
        <w:t>behavioural de</w:t>
      </w:r>
      <w:r w:rsidRPr="009A6BF0">
        <w:rPr>
          <w:rFonts w:cs="Minion-Regular"/>
          <w:szCs w:val="20"/>
          <w:lang w:val="en-US"/>
        </w:rPr>
        <w:t xml:space="preserve">velopment of the children </w:t>
      </w:r>
      <w:r>
        <w:rPr>
          <w:rFonts w:cs="Minion-Regular"/>
          <w:szCs w:val="20"/>
          <w:lang w:val="en-US"/>
        </w:rPr>
        <w:t>using</w:t>
      </w:r>
      <w:r w:rsidRPr="009A6BF0">
        <w:rPr>
          <w:rFonts w:cs="Minion-Regular"/>
          <w:szCs w:val="20"/>
          <w:lang w:val="en-US"/>
        </w:rPr>
        <w:t xml:space="preserve"> the Strength</w:t>
      </w:r>
      <w:r>
        <w:rPr>
          <w:rFonts w:cs="Minion-Regular"/>
          <w:szCs w:val="20"/>
          <w:lang w:val="en-US"/>
        </w:rPr>
        <w:t xml:space="preserve"> </w:t>
      </w:r>
      <w:r w:rsidRPr="009A6BF0">
        <w:rPr>
          <w:rFonts w:cs="Minion-Regular"/>
          <w:szCs w:val="20"/>
          <w:lang w:val="en-US"/>
        </w:rPr>
        <w:t xml:space="preserve">and </w:t>
      </w:r>
      <w:r w:rsidR="00C10A81" w:rsidRPr="009A6BF0">
        <w:rPr>
          <w:rFonts w:cs="Minion-Regular"/>
          <w:szCs w:val="20"/>
          <w:lang w:val="en-US"/>
        </w:rPr>
        <w:t>Difficulties</w:t>
      </w:r>
      <w:r w:rsidRPr="009A6BF0">
        <w:rPr>
          <w:rFonts w:cs="Minion-Regular"/>
          <w:szCs w:val="20"/>
          <w:lang w:val="en-US"/>
        </w:rPr>
        <w:t xml:space="preserve"> Questionnaire (SDQ). The SDQ is a behavioural screening</w:t>
      </w:r>
      <w:r>
        <w:rPr>
          <w:rFonts w:cs="Minion-Regular"/>
          <w:szCs w:val="20"/>
          <w:lang w:val="en-US"/>
        </w:rPr>
        <w:t xml:space="preserve"> </w:t>
      </w:r>
      <w:r w:rsidRPr="009A6BF0">
        <w:rPr>
          <w:rFonts w:cs="Minion-Regular"/>
          <w:szCs w:val="20"/>
          <w:lang w:val="en-US"/>
        </w:rPr>
        <w:t xml:space="preserve">questionnaire for three- to </w:t>
      </w:r>
      <w:r w:rsidRPr="009A6BF0">
        <w:rPr>
          <w:rFonts w:cs="Minion-RegularSC"/>
          <w:szCs w:val="20"/>
          <w:lang w:val="en-US"/>
        </w:rPr>
        <w:t>16</w:t>
      </w:r>
      <w:r w:rsidRPr="009A6BF0">
        <w:rPr>
          <w:rFonts w:cs="Minion-Regular"/>
          <w:szCs w:val="20"/>
          <w:lang w:val="en-US"/>
        </w:rPr>
        <w:t xml:space="preserve">-year-olds (Goodman, </w:t>
      </w:r>
      <w:r w:rsidRPr="009A6BF0">
        <w:rPr>
          <w:rFonts w:cs="Minion-RegularSC"/>
          <w:szCs w:val="20"/>
          <w:lang w:val="en-US"/>
        </w:rPr>
        <w:t>1997</w:t>
      </w:r>
      <w:r w:rsidRPr="009A6BF0">
        <w:rPr>
          <w:rFonts w:cs="Minion-Regular"/>
          <w:szCs w:val="20"/>
          <w:lang w:val="en-US"/>
        </w:rPr>
        <w:t xml:space="preserve">, </w:t>
      </w:r>
      <w:r w:rsidRPr="009A6BF0">
        <w:rPr>
          <w:rFonts w:cs="Minion-RegularSC"/>
          <w:szCs w:val="20"/>
          <w:lang w:val="en-US"/>
        </w:rPr>
        <w:t>2001</w:t>
      </w:r>
      <w:r w:rsidRPr="009A6BF0">
        <w:rPr>
          <w:rFonts w:cs="Minion-Regular"/>
          <w:szCs w:val="20"/>
          <w:lang w:val="en-US"/>
        </w:rPr>
        <w:t xml:space="preserve">; Goodman </w:t>
      </w:r>
      <w:r w:rsidRPr="009A6BF0">
        <w:rPr>
          <w:rFonts w:cs="Minion-Italic"/>
          <w:i/>
          <w:iCs/>
          <w:szCs w:val="20"/>
          <w:lang w:val="en-US"/>
        </w:rPr>
        <w:t>et al.</w:t>
      </w:r>
      <w:r w:rsidRPr="009A6BF0">
        <w:rPr>
          <w:rFonts w:cs="Minion-Regular"/>
          <w:szCs w:val="20"/>
          <w:lang w:val="en-US"/>
        </w:rPr>
        <w:t>,</w:t>
      </w:r>
      <w:r>
        <w:rPr>
          <w:rFonts w:cs="Minion-Regular"/>
          <w:szCs w:val="20"/>
          <w:lang w:val="en-US"/>
        </w:rPr>
        <w:t xml:space="preserve"> </w:t>
      </w:r>
      <w:r w:rsidRPr="009A6BF0">
        <w:rPr>
          <w:rFonts w:cs="Minion-RegularSC"/>
          <w:szCs w:val="20"/>
          <w:lang w:val="en-US"/>
        </w:rPr>
        <w:t>1998</w:t>
      </w:r>
      <w:r w:rsidRPr="009A6BF0">
        <w:rPr>
          <w:rFonts w:cs="Minion-Regular"/>
          <w:szCs w:val="20"/>
          <w:lang w:val="en-US"/>
        </w:rPr>
        <w:t xml:space="preserve">). It consists of </w:t>
      </w:r>
      <w:r w:rsidRPr="009A6BF0">
        <w:rPr>
          <w:rFonts w:cs="Minion-RegularSC"/>
          <w:szCs w:val="20"/>
          <w:lang w:val="en-US"/>
        </w:rPr>
        <w:t xml:space="preserve">25 </w:t>
      </w:r>
      <w:r w:rsidR="00C10A81" w:rsidRPr="009A6BF0">
        <w:rPr>
          <w:rFonts w:cs="Minion-Regular"/>
          <w:szCs w:val="20"/>
          <w:lang w:val="en-US"/>
        </w:rPr>
        <w:t>item</w:t>
      </w:r>
      <w:r w:rsidR="00C10A81">
        <w:rPr>
          <w:rFonts w:cs="Minion-Regular"/>
          <w:szCs w:val="20"/>
          <w:lang w:val="en-US"/>
        </w:rPr>
        <w:t xml:space="preserve">s that generate scores for </w:t>
      </w:r>
      <w:r w:rsidRPr="009A6BF0">
        <w:rPr>
          <w:rFonts w:cs="Minion-Regular"/>
          <w:szCs w:val="20"/>
          <w:lang w:val="en-US"/>
        </w:rPr>
        <w:t>subscales measuring:</w:t>
      </w:r>
      <w:r>
        <w:rPr>
          <w:rFonts w:cs="Minion-Regular"/>
          <w:szCs w:val="20"/>
          <w:lang w:val="en-US"/>
        </w:rPr>
        <w:t xml:space="preserve"> </w:t>
      </w:r>
      <w:r w:rsidRPr="009A6BF0">
        <w:rPr>
          <w:rFonts w:cs="Minion-Regular"/>
          <w:szCs w:val="20"/>
          <w:lang w:val="en-US"/>
        </w:rPr>
        <w:t>conduct problems, hyperactivity, emotional symptoms, peer problems and</w:t>
      </w:r>
      <w:r w:rsidR="006D69B8">
        <w:rPr>
          <w:rFonts w:cs="Minion-Regular"/>
          <w:szCs w:val="20"/>
          <w:lang w:val="en-US"/>
        </w:rPr>
        <w:t xml:space="preserve"> </w:t>
      </w:r>
      <w:r w:rsidRPr="009A6BF0">
        <w:rPr>
          <w:rFonts w:cs="Minion-Regular"/>
          <w:szCs w:val="20"/>
          <w:lang w:val="en-US"/>
        </w:rPr>
        <w:t>pro-social behaviour. The items are assessed via parental report, normally by the</w:t>
      </w:r>
      <w:r w:rsidR="008F13BC">
        <w:rPr>
          <w:rFonts w:cs="Minion-Regular"/>
          <w:szCs w:val="20"/>
          <w:lang w:val="en-US"/>
        </w:rPr>
        <w:t xml:space="preserve"> </w:t>
      </w:r>
      <w:r w:rsidRPr="009A6BF0">
        <w:rPr>
          <w:rFonts w:cs="Minion-Regular"/>
          <w:szCs w:val="20"/>
          <w:lang w:val="en-US"/>
        </w:rPr>
        <w:t>mother, in the computer-assisted self-completion module of the questionnaire.</w:t>
      </w:r>
    </w:p>
    <w:p w:rsidR="00747BED" w:rsidRDefault="00EC4F3B" w:rsidP="009A6BF0">
      <w:pPr>
        <w:spacing w:line="480" w:lineRule="auto"/>
        <w:jc w:val="both"/>
      </w:pPr>
      <w:r>
        <w:tab/>
        <w:t xml:space="preserve">We add these tests to equation (2) to consider whether children with higher </w:t>
      </w:r>
      <w:r w:rsidR="00416238">
        <w:t xml:space="preserve">test scores are more likely to move </w:t>
      </w:r>
      <w:r w:rsidR="008F13BC">
        <w:t xml:space="preserve">for education-related reasons. The results are reported in Table 5.  </w:t>
      </w:r>
      <w:r w:rsidR="00416238">
        <w:t xml:space="preserve">The hypothesis </w:t>
      </w:r>
      <w:r w:rsidR="008F13BC">
        <w:t xml:space="preserve">of increased mobility for education for higher test score children </w:t>
      </w:r>
      <w:r w:rsidR="00416238">
        <w:lastRenderedPageBreak/>
        <w:t xml:space="preserve">is confirmed in two sets of models, namely those </w:t>
      </w:r>
      <w:r w:rsidR="00A1783A">
        <w:t xml:space="preserve">that </w:t>
      </w:r>
      <w:r w:rsidR="00416238">
        <w:t xml:space="preserve">do and do not condition upon the X variables from the earlier models.  Children with higher </w:t>
      </w:r>
      <w:r w:rsidR="00A1783A">
        <w:t xml:space="preserve">cognitive </w:t>
      </w:r>
      <w:r w:rsidR="00416238">
        <w:t xml:space="preserve">test scores (there is no </w:t>
      </w:r>
      <w:r w:rsidR="00B25F23">
        <w:t xml:space="preserve">significant </w:t>
      </w:r>
      <w:r w:rsidR="00416238">
        <w:t>relation with the behavioural tests) are indeed more likely to move for education-</w:t>
      </w:r>
      <w:r w:rsidR="001172E9">
        <w:t>related reasons</w:t>
      </w:r>
      <w:r w:rsidR="00416238">
        <w:t xml:space="preserve"> in their pre-school years.</w:t>
      </w:r>
    </w:p>
    <w:p w:rsidR="00416238" w:rsidRPr="00EC4F3B" w:rsidRDefault="00416238" w:rsidP="00747BED">
      <w:pPr>
        <w:spacing w:line="480" w:lineRule="auto"/>
        <w:jc w:val="both"/>
      </w:pPr>
      <w:r>
        <w:tab/>
        <w:t>The findings of th</w:t>
      </w:r>
      <w:r w:rsidR="00D63DFB">
        <w:t>is</w:t>
      </w:r>
      <w:r w:rsidR="00C3060C">
        <w:t xml:space="preserve"> Section confirm </w:t>
      </w:r>
      <w:r>
        <w:t xml:space="preserve">there </w:t>
      </w:r>
      <w:r w:rsidR="00C3060C">
        <w:t xml:space="preserve">to be </w:t>
      </w:r>
      <w:r>
        <w:t xml:space="preserve">a significant </w:t>
      </w:r>
      <w:r w:rsidR="00B25F23">
        <w:t xml:space="preserve">early years </w:t>
      </w:r>
      <w:r>
        <w:t xml:space="preserve">demand for education from parents who wish to move house for education-related reasons, and that this is a phenomenon that occurs quite widely for families with pre-school children.  </w:t>
      </w:r>
      <w:r w:rsidR="00C10A81">
        <w:t>Moreover,</w:t>
      </w:r>
      <w:r w:rsidR="002B02A2">
        <w:t xml:space="preserve"> it is young children from more </w:t>
      </w:r>
      <w:r w:rsidR="00C10A81">
        <w:t>well</w:t>
      </w:r>
      <w:r w:rsidR="00D63DFB">
        <w:t>-</w:t>
      </w:r>
      <w:r w:rsidR="00C10A81">
        <w:t>to</w:t>
      </w:r>
      <w:r w:rsidR="00D63DFB">
        <w:t>-</w:t>
      </w:r>
      <w:r w:rsidR="00C10A81">
        <w:t>do</w:t>
      </w:r>
      <w:r w:rsidR="002B02A2">
        <w:t xml:space="preserve"> families that are significantly more likely to move house for education-related reasons an</w:t>
      </w:r>
      <w:r w:rsidR="00B25F23">
        <w:t>d the children themselves</w:t>
      </w:r>
      <w:r w:rsidR="002B02A2">
        <w:t xml:space="preserve"> are higher achievers in tests administered to them in their pre-school years.  </w:t>
      </w:r>
    </w:p>
    <w:p w:rsidR="00EC4F3B" w:rsidRDefault="00EC4F3B" w:rsidP="00747BED">
      <w:pPr>
        <w:spacing w:line="480" w:lineRule="auto"/>
        <w:jc w:val="both"/>
        <w:rPr>
          <w:u w:val="single"/>
        </w:rPr>
      </w:pPr>
    </w:p>
    <w:p w:rsidR="00747BED" w:rsidRDefault="00747BED" w:rsidP="00747BED">
      <w:pPr>
        <w:spacing w:line="480" w:lineRule="auto"/>
        <w:jc w:val="both"/>
        <w:rPr>
          <w:u w:val="single"/>
        </w:rPr>
      </w:pPr>
      <w:r>
        <w:rPr>
          <w:u w:val="single"/>
        </w:rPr>
        <w:t>III. House Prices and School Performance</w:t>
      </w:r>
      <w:r w:rsidR="00651BD0">
        <w:rPr>
          <w:u w:val="single"/>
        </w:rPr>
        <w:t xml:space="preserve"> Before School Starting Age</w:t>
      </w:r>
    </w:p>
    <w:p w:rsidR="00E07D97" w:rsidRPr="00E07D97" w:rsidRDefault="00E07D97" w:rsidP="00747BED">
      <w:pPr>
        <w:spacing w:line="480" w:lineRule="auto"/>
        <w:jc w:val="both"/>
        <w:rPr>
          <w:i/>
        </w:rPr>
      </w:pPr>
      <w:r w:rsidRPr="00E07D97">
        <w:tab/>
      </w:r>
      <w:r w:rsidR="00D63DFB">
        <w:t>Our</w:t>
      </w:r>
      <w:r w:rsidRPr="00E07D97">
        <w:t xml:space="preserve"> second </w:t>
      </w:r>
      <w:r>
        <w:t xml:space="preserve">piece of empirical </w:t>
      </w:r>
      <w:r w:rsidR="00A1783A">
        <w:t xml:space="preserve">research </w:t>
      </w:r>
      <w:r>
        <w:t>attempt</w:t>
      </w:r>
      <w:r w:rsidR="00D63DFB">
        <w:t>s</w:t>
      </w:r>
      <w:r>
        <w:t xml:space="preserve"> to uncover evidence of a significant demand for education from parents w</w:t>
      </w:r>
      <w:r w:rsidR="00F35B95">
        <w:t xml:space="preserve">ith young pre-school children. </w:t>
      </w:r>
      <w:r>
        <w:t xml:space="preserve">In this section we report </w:t>
      </w:r>
      <w:r w:rsidR="00A1783A">
        <w:t>finding which show</w:t>
      </w:r>
      <w:r>
        <w:t xml:space="preserve"> parental willingness to pay for education derived from hedonic pricing models applied to the housing market (see Shepperd, 1999, for a review of these methods).</w:t>
      </w:r>
    </w:p>
    <w:p w:rsidR="00747BED" w:rsidRPr="00747BED" w:rsidRDefault="00747BED" w:rsidP="00747BED">
      <w:pPr>
        <w:spacing w:line="480" w:lineRule="auto"/>
        <w:jc w:val="both"/>
        <w:rPr>
          <w:i/>
        </w:rPr>
      </w:pPr>
      <w:r w:rsidRPr="00747BED">
        <w:rPr>
          <w:i/>
        </w:rPr>
        <w:t>Linking Land Registry Data to the MCS</w:t>
      </w:r>
    </w:p>
    <w:p w:rsidR="00747BED" w:rsidRPr="00E07D97" w:rsidRDefault="00E07D97" w:rsidP="00747BED">
      <w:pPr>
        <w:spacing w:line="480" w:lineRule="auto"/>
        <w:jc w:val="both"/>
      </w:pPr>
      <w:r>
        <w:tab/>
        <w:t>Whilst we see house moves in the MCS data</w:t>
      </w:r>
      <w:r w:rsidR="00F35B95">
        <w:t>,</w:t>
      </w:r>
      <w:r>
        <w:t xml:space="preserve"> we do not observe the </w:t>
      </w:r>
      <w:r w:rsidR="008F13BC">
        <w:t xml:space="preserve">monetary </w:t>
      </w:r>
      <w:r>
        <w:t>values of houses.  However</w:t>
      </w:r>
      <w:r w:rsidR="00915127">
        <w:t>,</w:t>
      </w:r>
      <w:r>
        <w:t xml:space="preserve"> we do have detailed postcode data and so have matched Land Registry house price data (covering all house price transactions that occur in the UK) to these</w:t>
      </w:r>
      <w:r w:rsidR="00D63DFB">
        <w:t xml:space="preserve"> MCS</w:t>
      </w:r>
      <w:r>
        <w:t xml:space="preserve"> postcodes.</w:t>
      </w:r>
      <w:r w:rsidR="00915127">
        <w:t xml:space="preserve">  Given there are around thirty housing units per household and we know the date of the transaction in the Land Registry data we are confident that we match the actual transactions to the MCS address. </w:t>
      </w:r>
    </w:p>
    <w:p w:rsidR="00747BED" w:rsidRDefault="008F13BC" w:rsidP="00915127">
      <w:pPr>
        <w:spacing w:line="480" w:lineRule="auto"/>
        <w:ind w:firstLine="720"/>
        <w:jc w:val="both"/>
      </w:pPr>
      <w:r>
        <w:lastRenderedPageBreak/>
        <w:t>O</w:t>
      </w:r>
      <w:r w:rsidR="00915127">
        <w:t>ne significant issue that arises is that the coverage of postcodes in the MCS is a very small proportion</w:t>
      </w:r>
      <w:r w:rsidR="002B1087">
        <w:t xml:space="preserve"> of all postcodes</w:t>
      </w:r>
      <w:r w:rsidR="00F35B95">
        <w:t xml:space="preserve">. </w:t>
      </w:r>
      <w:r w:rsidR="003C2982">
        <w:t>This is</w:t>
      </w:r>
      <w:r w:rsidR="004F16B6">
        <w:t>,</w:t>
      </w:r>
      <w:r w:rsidR="003C2982">
        <w:t xml:space="preserve"> </w:t>
      </w:r>
      <w:r w:rsidR="00752308">
        <w:t>first and foremost</w:t>
      </w:r>
      <w:r w:rsidR="004F16B6">
        <w:t>,</w:t>
      </w:r>
      <w:r w:rsidR="00752308">
        <w:t xml:space="preserve"> </w:t>
      </w:r>
      <w:r w:rsidR="003C2982">
        <w:t xml:space="preserve">because of the </w:t>
      </w:r>
      <w:r w:rsidR="00C10A81">
        <w:t>ward-based</w:t>
      </w:r>
      <w:r w:rsidR="003C2982">
        <w:t xml:space="preserve"> sampling in MCS (where </w:t>
      </w:r>
      <w:r w:rsidR="00C10A81">
        <w:t>376 wards out of around 10</w:t>
      </w:r>
      <w:r w:rsidR="00D63DFB">
        <w:t>,</w:t>
      </w:r>
      <w:r w:rsidR="00C10A81">
        <w:t>700 UK</w:t>
      </w:r>
      <w:r w:rsidR="003C2982">
        <w:t xml:space="preserve"> wards formed the sampling frame).  </w:t>
      </w:r>
      <w:r w:rsidR="00752308">
        <w:t xml:space="preserve">Second, we need to focus on England since school performance data is only available to match to the housing transactions data.  We thus end up </w:t>
      </w:r>
      <w:r w:rsidR="00915127">
        <w:t>in 2005 w</w:t>
      </w:r>
      <w:r w:rsidR="00752308">
        <w:t xml:space="preserve">ith matched </w:t>
      </w:r>
      <w:r w:rsidR="00915127">
        <w:t xml:space="preserve">transactions/moves in </w:t>
      </w:r>
      <w:r w:rsidR="00752308">
        <w:t xml:space="preserve">only </w:t>
      </w:r>
      <w:r w:rsidR="00BA75AD">
        <w:t xml:space="preserve">3 percent </w:t>
      </w:r>
      <w:r w:rsidR="00915127">
        <w:t>of the total population of postco</w:t>
      </w:r>
      <w:r w:rsidR="00752308">
        <w:t>des in the Land Registry data. This evidently raises</w:t>
      </w:r>
      <w:r w:rsidR="00915127">
        <w:t xml:space="preserve"> issues of r</w:t>
      </w:r>
      <w:r w:rsidR="00747BED" w:rsidRPr="00915127">
        <w:t xml:space="preserve">epresentativeness </w:t>
      </w:r>
      <w:r w:rsidR="00915127">
        <w:t xml:space="preserve">(or otherwise) </w:t>
      </w:r>
      <w:r w:rsidR="00747BED" w:rsidRPr="00915127">
        <w:t xml:space="preserve">of </w:t>
      </w:r>
      <w:r w:rsidR="00915127">
        <w:t>the postcodes with house moves contained in the MCS.</w:t>
      </w:r>
    </w:p>
    <w:p w:rsidR="005A7803" w:rsidRDefault="00915127" w:rsidP="00494E50">
      <w:pPr>
        <w:spacing w:line="480" w:lineRule="auto"/>
        <w:ind w:firstLine="720"/>
        <w:jc w:val="both"/>
      </w:pPr>
      <w:r>
        <w:t xml:space="preserve">We therefore examine whether </w:t>
      </w:r>
      <w:r w:rsidR="005A7803">
        <w:t xml:space="preserve">the MCS postcodes are a representative sample of postcodes.  We do so by studying whether prices and characteristics of houses are different for MCS postcodes compared to others.  The way in which we do this is to estimate a log(price) equation relating price to a dummy variable indicating whether or not the transaction occurs in an MCS postcode </w:t>
      </w:r>
      <w:r w:rsidR="002B1087">
        <w:t>(</w:t>
      </w:r>
      <w:r w:rsidR="005A7803">
        <w:t>or not</w:t>
      </w:r>
      <w:r w:rsidR="002B1087">
        <w:t>)</w:t>
      </w:r>
      <w:r w:rsidR="005A7803">
        <w:t xml:space="preserve"> and to house characteristics (Z).  </w:t>
      </w:r>
      <w:r w:rsidR="003F55A7">
        <w:t>For transaction i in postcode j in town t t</w:t>
      </w:r>
      <w:r w:rsidR="005A7803">
        <w:t>his equation can be represented as:</w:t>
      </w:r>
    </w:p>
    <w:tbl>
      <w:tblPr>
        <w:tblW w:w="0" w:type="auto"/>
        <w:tblBorders>
          <w:insideH w:val="single" w:sz="4" w:space="0" w:color="auto"/>
        </w:tblBorders>
        <w:tblLook w:val="01E0"/>
      </w:tblPr>
      <w:tblGrid>
        <w:gridCol w:w="8026"/>
        <w:gridCol w:w="496"/>
      </w:tblGrid>
      <w:tr w:rsidR="00494E50" w:rsidTr="00B37002">
        <w:tc>
          <w:tcPr>
            <w:tcW w:w="8026" w:type="dxa"/>
          </w:tcPr>
          <w:p w:rsidR="00494E50" w:rsidRDefault="003F55A7" w:rsidP="00B37002">
            <w:pPr>
              <w:jc w:val="center"/>
            </w:pPr>
            <w:r w:rsidRPr="00B37002">
              <w:rPr>
                <w:position w:val="-14"/>
              </w:rPr>
              <w:object w:dxaOrig="3000" w:dyaOrig="380">
                <v:shape id="_x0000_i1027" type="#_x0000_t75" style="width:150pt;height:18.75pt" o:ole="">
                  <v:imagedata r:id="rId12" o:title=""/>
                </v:shape>
                <o:OLEObject Type="Embed" ProgID="Equation.3" ShapeID="_x0000_i1027" DrawAspect="Content" ObjectID="_1336992118" r:id="rId13"/>
              </w:object>
            </w:r>
          </w:p>
        </w:tc>
        <w:tc>
          <w:tcPr>
            <w:tcW w:w="496" w:type="dxa"/>
          </w:tcPr>
          <w:p w:rsidR="00494E50" w:rsidRDefault="00494E50" w:rsidP="00B37002">
            <w:pPr>
              <w:jc w:val="both"/>
            </w:pPr>
            <w:r>
              <w:t>(3)</w:t>
            </w:r>
          </w:p>
        </w:tc>
      </w:tr>
    </w:tbl>
    <w:p w:rsidR="00494E50" w:rsidRDefault="00494E50" w:rsidP="00494E50">
      <w:pPr>
        <w:jc w:val="both"/>
      </w:pPr>
    </w:p>
    <w:p w:rsidR="005A7803" w:rsidRDefault="005A7803" w:rsidP="005A7803">
      <w:pPr>
        <w:spacing w:line="480" w:lineRule="auto"/>
        <w:jc w:val="both"/>
      </w:pPr>
      <w:r>
        <w:t xml:space="preserve">where </w:t>
      </w:r>
      <w:r w:rsidR="00494E50">
        <w:t>ε</w:t>
      </w:r>
      <w:r>
        <w:t xml:space="preserve"> is an error term.  Estimates of θ show whether or not the prices of homes in MCS postcodes are different to those in other non-MCS postcodes</w:t>
      </w:r>
      <w:r w:rsidR="003F55A7">
        <w:t xml:space="preserve"> and in the reported estimates we consider specifications that </w:t>
      </w:r>
      <w:r w:rsidR="00752308">
        <w:t xml:space="preserve">respectively </w:t>
      </w:r>
      <w:r w:rsidR="003F55A7">
        <w:t>include and exclude the Z-vector and that include and exclude a full set of town dummies (around 15</w:t>
      </w:r>
      <w:r w:rsidR="002B1087">
        <w:t>,</w:t>
      </w:r>
      <w:r w:rsidR="003F55A7">
        <w:t>200) to control for disaggregate</w:t>
      </w:r>
      <w:r w:rsidR="00752308">
        <w:t>d</w:t>
      </w:r>
      <w:r w:rsidR="003F55A7">
        <w:t xml:space="preserve"> spatial variations</w:t>
      </w:r>
      <w:r>
        <w:t>.</w:t>
      </w:r>
    </w:p>
    <w:p w:rsidR="00915127" w:rsidRPr="00915127" w:rsidRDefault="005A7803" w:rsidP="005A7803">
      <w:pPr>
        <w:spacing w:line="480" w:lineRule="auto"/>
        <w:jc w:val="both"/>
      </w:pPr>
      <w:r>
        <w:tab/>
        <w:t xml:space="preserve">Estimates of θ from </w:t>
      </w:r>
      <w:r w:rsidR="003F55A7">
        <w:t xml:space="preserve">the </w:t>
      </w:r>
      <w:r>
        <w:t xml:space="preserve">various different specifications of equation (3) are given in Table </w:t>
      </w:r>
      <w:r w:rsidR="008F13BC">
        <w:t>6</w:t>
      </w:r>
      <w:r>
        <w:t xml:space="preserve">. Their pattern is reassuring for issues to do with the possible systematic selection of MCS postcodes. In fact the estimates show there to be no significant differences in </w:t>
      </w:r>
      <w:r>
        <w:lastRenderedPageBreak/>
        <w:t>house prices for sales in the postcodes conta</w:t>
      </w:r>
      <w:r w:rsidR="00281E08">
        <w:t xml:space="preserve">ined in MCS as compared to the </w:t>
      </w:r>
      <w:r>
        <w:t xml:space="preserve">much larger sample of </w:t>
      </w:r>
      <w:r w:rsidR="00281E08">
        <w:t xml:space="preserve">postcodes that are not. </w:t>
      </w:r>
      <w:r>
        <w:t xml:space="preserve">   </w:t>
      </w:r>
    </w:p>
    <w:p w:rsidR="00747BED" w:rsidRPr="00747BED" w:rsidRDefault="00C3060C" w:rsidP="00747BED">
      <w:pPr>
        <w:tabs>
          <w:tab w:val="left" w:pos="2775"/>
        </w:tabs>
        <w:spacing w:line="480" w:lineRule="auto"/>
        <w:jc w:val="both"/>
        <w:rPr>
          <w:i/>
        </w:rPr>
      </w:pPr>
      <w:r>
        <w:rPr>
          <w:i/>
        </w:rPr>
        <w:t>Estimated House Price Equations</w:t>
      </w:r>
    </w:p>
    <w:p w:rsidR="00AA6577" w:rsidRDefault="00281E08" w:rsidP="00747BED">
      <w:pPr>
        <w:spacing w:line="480" w:lineRule="auto"/>
        <w:jc w:val="both"/>
      </w:pPr>
      <w:r w:rsidRPr="00281E08">
        <w:tab/>
        <w:t xml:space="preserve">Given </w:t>
      </w:r>
      <w:r w:rsidR="008F13BC">
        <w:t>the findings on representativeness in Table 6</w:t>
      </w:r>
      <w:r>
        <w:t xml:space="preserve">, we now move on to the MCS linked sample of house prices and survey data to explore the extent to which parents value school quality in terms of their house move behaviour whilst children are of pre-school age.  </w:t>
      </w:r>
      <w:r w:rsidR="00AA6577">
        <w:t xml:space="preserve">We do so by estimating hedonic valuations of willingness to pay from house price equations </w:t>
      </w:r>
      <w:r w:rsidR="003F55A7">
        <w:t xml:space="preserve">for MCS cohort member i in postcode j </w:t>
      </w:r>
      <w:r w:rsidR="00752308">
        <w:t xml:space="preserve">in time period t </w:t>
      </w:r>
      <w:r w:rsidR="00AA6577">
        <w:t>of the form:</w:t>
      </w:r>
    </w:p>
    <w:tbl>
      <w:tblPr>
        <w:tblW w:w="0" w:type="auto"/>
        <w:tblBorders>
          <w:insideH w:val="single" w:sz="4" w:space="0" w:color="auto"/>
        </w:tblBorders>
        <w:tblLook w:val="01E0"/>
      </w:tblPr>
      <w:tblGrid>
        <w:gridCol w:w="8026"/>
        <w:gridCol w:w="496"/>
      </w:tblGrid>
      <w:tr w:rsidR="003F55A7" w:rsidTr="00B37002">
        <w:tc>
          <w:tcPr>
            <w:tcW w:w="8026" w:type="dxa"/>
          </w:tcPr>
          <w:p w:rsidR="003F55A7" w:rsidRDefault="00FE39FE" w:rsidP="00B37002">
            <w:pPr>
              <w:jc w:val="center"/>
            </w:pPr>
            <w:r w:rsidRPr="00B37002">
              <w:rPr>
                <w:position w:val="-14"/>
              </w:rPr>
              <w:object w:dxaOrig="3580" w:dyaOrig="380">
                <v:shape id="_x0000_i1028" type="#_x0000_t75" style="width:179.25pt;height:18.75pt" o:ole="">
                  <v:imagedata r:id="rId14" o:title=""/>
                </v:shape>
                <o:OLEObject Type="Embed" ProgID="Equation.3" ShapeID="_x0000_i1028" DrawAspect="Content" ObjectID="_1336992119" r:id="rId15"/>
              </w:object>
            </w:r>
          </w:p>
        </w:tc>
        <w:tc>
          <w:tcPr>
            <w:tcW w:w="496" w:type="dxa"/>
          </w:tcPr>
          <w:p w:rsidR="003F55A7" w:rsidRDefault="003F55A7" w:rsidP="00B37002">
            <w:pPr>
              <w:jc w:val="both"/>
            </w:pPr>
            <w:r>
              <w:t>(4)</w:t>
            </w:r>
          </w:p>
        </w:tc>
      </w:tr>
    </w:tbl>
    <w:p w:rsidR="003F55A7" w:rsidRDefault="003F55A7" w:rsidP="003F55A7">
      <w:pPr>
        <w:jc w:val="both"/>
      </w:pPr>
    </w:p>
    <w:p w:rsidR="00747BED" w:rsidRDefault="00AA6577" w:rsidP="00747BED">
      <w:pPr>
        <w:spacing w:line="480" w:lineRule="auto"/>
        <w:jc w:val="both"/>
      </w:pPr>
      <w:r>
        <w:t xml:space="preserve">where </w:t>
      </w:r>
      <w:r w:rsidR="003F55A7">
        <w:t xml:space="preserve">S is a </w:t>
      </w:r>
      <w:r w:rsidR="00752308">
        <w:t xml:space="preserve">(lagged) </w:t>
      </w:r>
      <w:r w:rsidR="003F55A7">
        <w:t xml:space="preserve">measure of </w:t>
      </w:r>
      <w:r w:rsidR="00C3060C">
        <w:t xml:space="preserve">primary </w:t>
      </w:r>
      <w:r w:rsidR="003F55A7">
        <w:t>school quality (of which we consider several – see the discussion below), Z is a set of house characteristics, X is characteristics of the cohort member and their family, f denotes a postcode specific fixed effects and υ is an error term</w:t>
      </w:r>
      <w:r>
        <w:t>.</w:t>
      </w:r>
      <w:r w:rsidR="00281E08">
        <w:t xml:space="preserve"> </w:t>
      </w:r>
    </w:p>
    <w:p w:rsidR="00246C20" w:rsidRDefault="003F55A7" w:rsidP="0092187D">
      <w:pPr>
        <w:spacing w:line="480" w:lineRule="auto"/>
        <w:jc w:val="both"/>
      </w:pPr>
      <w:r>
        <w:tab/>
        <w:t xml:space="preserve">In the literature (began by the seminal work of Rosen, 1974) </w:t>
      </w:r>
      <w:r w:rsidR="0092187D">
        <w:t xml:space="preserve">equations like (4) have been used to infer the implicit price (and therefore the willingness to pay, or household demand) for particular amenities.  The one we wish to focus upon is school quality so that, from an empirical perspective, the critical feature of accurately determining π, the implicit price of school quality, is that we are able to isolate the sources of spatial variation in the supply of this particular amenity that is uncorrelated with other determinants of housing prices.  This is not necessarily an easy task and the literature has moved in various directions to try to </w:t>
      </w:r>
      <w:r w:rsidR="00246C20">
        <w:t xml:space="preserve">more accurately </w:t>
      </w:r>
      <w:r w:rsidR="0092187D">
        <w:t xml:space="preserve">pin down the implicit price of school quality.  </w:t>
      </w:r>
    </w:p>
    <w:p w:rsidR="0092187D" w:rsidRDefault="00246C20" w:rsidP="0092187D">
      <w:pPr>
        <w:spacing w:line="480" w:lineRule="auto"/>
        <w:jc w:val="both"/>
      </w:pPr>
      <w:r>
        <w:tab/>
        <w:t xml:space="preserve">We </w:t>
      </w:r>
      <w:r w:rsidR="00752308">
        <w:t xml:space="preserve">are able to </w:t>
      </w:r>
      <w:r>
        <w:t xml:space="preserve">take a different approach </w:t>
      </w:r>
      <w:r w:rsidR="008F13BC">
        <w:t xml:space="preserve">to most work </w:t>
      </w:r>
      <w:r w:rsidR="00752308">
        <w:t xml:space="preserve">in the area </w:t>
      </w:r>
      <w:r w:rsidR="0092187D">
        <w:t>owing to the fact that</w:t>
      </w:r>
      <w:r w:rsidR="004E23AF">
        <w:t>, subject to accurate matching,</w:t>
      </w:r>
      <w:r w:rsidR="0092187D">
        <w:t xml:space="preserve"> we have detailed survey data on the children and </w:t>
      </w:r>
      <w:r w:rsidR="0092187D">
        <w:lastRenderedPageBreak/>
        <w:t>families living in the houses</w:t>
      </w:r>
      <w:r w:rsidR="004E23AF">
        <w:t xml:space="preserve"> that were bought and sold.  All other existing studies</w:t>
      </w:r>
      <w:r w:rsidR="002B1087">
        <w:t>,</w:t>
      </w:r>
      <w:r w:rsidR="004E23AF">
        <w:t xml:space="preserve"> to our knowledge</w:t>
      </w:r>
      <w:r w:rsidR="002B1087">
        <w:t>,</w:t>
      </w:r>
      <w:r w:rsidR="004E23AF">
        <w:t xml:space="preserve"> do not have such rich data and therefore </w:t>
      </w:r>
      <w:r w:rsidR="00C3060C">
        <w:t xml:space="preserve">sometimes </w:t>
      </w:r>
      <w:r w:rsidR="004E23AF">
        <w:t xml:space="preserve">have to resort to </w:t>
      </w:r>
      <w:r w:rsidR="008F13BC">
        <w:t>quite complex statistical</w:t>
      </w:r>
      <w:r w:rsidR="004E23AF">
        <w:t xml:space="preserve"> modelling strategies.</w:t>
      </w:r>
      <w:r w:rsidR="008F13BC">
        <w:rPr>
          <w:rStyle w:val="FootnoteReference"/>
        </w:rPr>
        <w:footnoteReference w:id="4"/>
      </w:r>
      <w:r w:rsidR="004E23AF">
        <w:t xml:space="preserve">  </w:t>
      </w:r>
      <w:r w:rsidR="002B1087">
        <w:t>Using the MCS data we are able to</w:t>
      </w:r>
      <w:r w:rsidR="004E23AF">
        <w:t xml:space="preserve"> condition out a large number of observables that may be correlated with school quality and other amenities that affect house prices.  We are also able to control for detailed spatial fixed effects as we have multiple </w:t>
      </w:r>
      <w:r w:rsidR="004F16B6">
        <w:t xml:space="preserve">transactions within postcodes. </w:t>
      </w:r>
      <w:r w:rsidR="004E23AF">
        <w:t>Thus</w:t>
      </w:r>
      <w:r w:rsidR="00D63DFB">
        <w:t>,</w:t>
      </w:r>
      <w:r w:rsidR="004E23AF">
        <w:t xml:space="preserve"> the estimates we report condition on a large number of household, child and family characteristics and, in the more detailed models with postcode fixed effects do so, within postcodes where one would think housing characteristics are reasonably homogenous.</w:t>
      </w:r>
    </w:p>
    <w:p w:rsidR="00AD3B08" w:rsidRPr="002C60AF" w:rsidRDefault="00AD3B08" w:rsidP="0092187D">
      <w:pPr>
        <w:spacing w:line="480" w:lineRule="auto"/>
        <w:jc w:val="both"/>
        <w:rPr>
          <w:i/>
        </w:rPr>
      </w:pPr>
      <w:r w:rsidRPr="002C60AF">
        <w:rPr>
          <w:i/>
        </w:rPr>
        <w:t xml:space="preserve">Basic </w:t>
      </w:r>
      <w:r w:rsidR="002C60AF">
        <w:rPr>
          <w:i/>
        </w:rPr>
        <w:t xml:space="preserve">Empirical </w:t>
      </w:r>
      <w:r w:rsidRPr="002C60AF">
        <w:rPr>
          <w:i/>
        </w:rPr>
        <w:t>Models of House Prices and Primary School Performance</w:t>
      </w:r>
    </w:p>
    <w:p w:rsidR="00AD3B08" w:rsidRDefault="00AD3B08" w:rsidP="0092187D">
      <w:pPr>
        <w:spacing w:line="480" w:lineRule="auto"/>
        <w:jc w:val="both"/>
      </w:pPr>
      <w:r>
        <w:tab/>
        <w:t>We begin with the kind of house price equation which has by now become quite common in the literature (se</w:t>
      </w:r>
      <w:r w:rsidR="008F13BC">
        <w:t>e Gibbons and Machin, 2008 or Black and Machin, 2010</w:t>
      </w:r>
      <w:r>
        <w:t>).</w:t>
      </w:r>
      <w:r w:rsidR="002C60AF">
        <w:t xml:space="preserve"> This simply models S as the average end of primary school test score performance for schools</w:t>
      </w:r>
      <w:r w:rsidR="00AF5BAB">
        <w:t>. In the context of England we use the 'headline' primary school statistic</w:t>
      </w:r>
      <w:r w:rsidR="002C60AF">
        <w:t>, the percentage of children achieving level 4 or higher in their key stage 2 exams.</w:t>
      </w:r>
      <w:r w:rsidR="002C60AF">
        <w:rPr>
          <w:rStyle w:val="FootnoteReference"/>
        </w:rPr>
        <w:footnoteReference w:id="5"/>
      </w:r>
    </w:p>
    <w:p w:rsidR="002C60AF" w:rsidRDefault="008F13BC" w:rsidP="0092187D">
      <w:pPr>
        <w:spacing w:line="480" w:lineRule="auto"/>
        <w:jc w:val="both"/>
      </w:pPr>
      <w:r>
        <w:tab/>
        <w:t>Table 7</w:t>
      </w:r>
      <w:r w:rsidR="00AA5B40">
        <w:t xml:space="preserve"> shows estimates of π, the sensitivity of house prices to local </w:t>
      </w:r>
      <w:r w:rsidR="00C50B7C">
        <w:t>school</w:t>
      </w:r>
      <w:r w:rsidR="00AA5B40">
        <w:t xml:space="preserve"> performance, from these models. </w:t>
      </w:r>
      <w:r w:rsidR="002C60AF">
        <w:t>The reported coefficient on key stage 2 performance (KS</w:t>
      </w:r>
      <w:r>
        <w:t>2</w:t>
      </w:r>
      <w:r w:rsidR="002C60AF">
        <w:t>) can be interpreted as the impact of a standard deviation increase in KS</w:t>
      </w:r>
      <w:r>
        <w:t>2</w:t>
      </w:r>
      <w:r w:rsidR="002C60AF">
        <w:t xml:space="preserve"> on log house prices.  Column (1) of the upper panel of the Table shows there to be a sizable </w:t>
      </w:r>
      <w:r w:rsidR="002C60AF">
        <w:lastRenderedPageBreak/>
        <w:t>impact in terms of raw correlations, of the order of .24 of a standard deviation.</w:t>
      </w:r>
      <w:r w:rsidR="00C3060C">
        <w:t xml:space="preserve"> O</w:t>
      </w:r>
      <w:r w:rsidR="000D4D55">
        <w:t>nce controls and/or postcode fixed effects are included this falls, but remains strongly significant</w:t>
      </w:r>
      <w:r w:rsidR="00AA5B40">
        <w:t>,</w:t>
      </w:r>
      <w:r w:rsidR="000D4D55">
        <w:t xml:space="preserve"> at .0</w:t>
      </w:r>
      <w:r w:rsidR="00781E5D">
        <w:t>6</w:t>
      </w:r>
      <w:r w:rsidR="000D4D55">
        <w:t xml:space="preserve"> of a standard</w:t>
      </w:r>
      <w:r w:rsidR="00781E5D">
        <w:t xml:space="preserve"> devia</w:t>
      </w:r>
      <w:r w:rsidR="000D4D55">
        <w:t>tion in the most stringent model reported in column (4) of the upper panel.</w:t>
      </w:r>
      <w:r w:rsidR="00C3060C">
        <w:t xml:space="preserve"> This</w:t>
      </w:r>
      <w:r>
        <w:t xml:space="preserve"> magnitude </w:t>
      </w:r>
      <w:r w:rsidR="00581831">
        <w:t xml:space="preserve">is very much in line with the 'consensus' estimates in the broader literature (see Gibbons and Machin, 2008, </w:t>
      </w:r>
      <w:r w:rsidR="00C3060C">
        <w:t>or</w:t>
      </w:r>
      <w:r w:rsidR="00581831">
        <w:t xml:space="preserve"> Black and Machin, 2010).</w:t>
      </w:r>
    </w:p>
    <w:p w:rsidR="00781E5D" w:rsidRDefault="000D4D55" w:rsidP="0092187D">
      <w:pPr>
        <w:spacing w:line="480" w:lineRule="auto"/>
        <w:jc w:val="both"/>
      </w:pPr>
      <w:r>
        <w:tab/>
        <w:t xml:space="preserve">In the house price-school quality literature quite a lot of attention has been placed upon the consequence of possible measurement errors in the school quality variables entered as independent variables.  Frequently </w:t>
      </w:r>
      <w:r w:rsidR="00781E5D">
        <w:t xml:space="preserve">researchers average </w:t>
      </w:r>
      <w:r>
        <w:t xml:space="preserve">measures over </w:t>
      </w:r>
      <w:r w:rsidR="00781E5D">
        <w:t xml:space="preserve">several periods </w:t>
      </w:r>
      <w:r w:rsidR="00AA5B40">
        <w:t xml:space="preserve">in an attempt </w:t>
      </w:r>
      <w:r w:rsidR="00781E5D">
        <w:t xml:space="preserve">to ameliorate problems of attenuation bias owing to such measurement errors.  We </w:t>
      </w:r>
      <w:r w:rsidR="002B1087">
        <w:t xml:space="preserve">take this approach </w:t>
      </w:r>
      <w:r w:rsidR="00781E5D">
        <w:t xml:space="preserve">in the lower panel of the Table.  In most of the models the estimated </w:t>
      </w:r>
      <w:r w:rsidR="00AA5B40">
        <w:t xml:space="preserve">coefficients </w:t>
      </w:r>
      <w:r w:rsidR="00781E5D">
        <w:t xml:space="preserve">do rise a little, though not by that much, once two year averages (for 2003 and 2004) are entered in place of the single period (2004) measure.  For the detailed model including the full set of controls and postcode fixed effects (specification (8)) the estimate </w:t>
      </w:r>
      <w:r w:rsidR="00AA5B40">
        <w:t xml:space="preserve">actually </w:t>
      </w:r>
      <w:r w:rsidR="00781E5D">
        <w:t xml:space="preserve">falls </w:t>
      </w:r>
      <w:r w:rsidR="00AA5B40">
        <w:t xml:space="preserve">a little, </w:t>
      </w:r>
      <w:r w:rsidR="00781E5D">
        <w:t>to .053, but remains statistically significant and is very similar in magnitude to the estimate of .060 from the single period measure (specification (4)).</w:t>
      </w:r>
    </w:p>
    <w:p w:rsidR="000D4D55" w:rsidRPr="00281E08" w:rsidRDefault="00781E5D" w:rsidP="0092187D">
      <w:pPr>
        <w:spacing w:line="480" w:lineRule="auto"/>
        <w:jc w:val="both"/>
      </w:pPr>
      <w:r>
        <w:tab/>
      </w:r>
      <w:r w:rsidR="002B1087">
        <w:t xml:space="preserve">Our </w:t>
      </w:r>
      <w:r w:rsidR="00C50B7C">
        <w:t>results support other work on valuing English primary schools</w:t>
      </w:r>
      <w:r w:rsidR="00C3060C">
        <w:t xml:space="preserve">. However, they </w:t>
      </w:r>
      <w:r w:rsidR="00C50B7C">
        <w:t xml:space="preserve"> highlight</w:t>
      </w:r>
      <w:r w:rsidR="00581831">
        <w:t xml:space="preserve"> that such house price-school quality connections exist even in the </w:t>
      </w:r>
      <w:r>
        <w:t xml:space="preserve">pre-school years. </w:t>
      </w:r>
      <w:r w:rsidR="002B1087">
        <w:t>Findings indicate p</w:t>
      </w:r>
      <w:r>
        <w:t xml:space="preserve">arents are willing to pay quite sizable amounts to move into a house in the catchment are of a primary school with superior key stage 2 performance before their children reach school age.   </w:t>
      </w:r>
    </w:p>
    <w:p w:rsidR="00747BED" w:rsidRPr="00747BED" w:rsidRDefault="00747BED" w:rsidP="00747BED">
      <w:pPr>
        <w:spacing w:line="480" w:lineRule="auto"/>
        <w:jc w:val="both"/>
        <w:rPr>
          <w:i/>
        </w:rPr>
      </w:pPr>
      <w:r w:rsidRPr="00747BED">
        <w:rPr>
          <w:i/>
        </w:rPr>
        <w:t>Which Aspects of School P</w:t>
      </w:r>
      <w:r w:rsidR="00842D83">
        <w:rPr>
          <w:i/>
        </w:rPr>
        <w:t>erformance Matter More</w:t>
      </w:r>
      <w:r w:rsidRPr="00747BED">
        <w:rPr>
          <w:i/>
        </w:rPr>
        <w:t>?</w:t>
      </w:r>
    </w:p>
    <w:p w:rsidR="00747BED" w:rsidRDefault="00781E5D" w:rsidP="00747BED">
      <w:pPr>
        <w:spacing w:line="480" w:lineRule="auto"/>
        <w:jc w:val="both"/>
      </w:pPr>
      <w:r w:rsidRPr="00781E5D">
        <w:tab/>
      </w:r>
      <w:r>
        <w:t xml:space="preserve">There are exceptions (like Brasington and Haurin, 2006, and Gibbons, Machin and Silva, 2008) but not much work in this area considers different measures of school quality.  </w:t>
      </w:r>
      <w:r>
        <w:lastRenderedPageBreak/>
        <w:t>This is evidently not because authors do not want to do so, but they are often constrained by data limitations.  However, this may be a concern especially since inferring school quality house price premia from end of school levels of performance is not what the school effectiveness literature (see</w:t>
      </w:r>
      <w:r w:rsidR="00F5750C">
        <w:t xml:space="preserve">, </w:t>
      </w:r>
      <w:r w:rsidR="00F5750C" w:rsidRPr="00F5750C">
        <w:rPr>
          <w:i/>
        </w:rPr>
        <w:t>inter alia</w:t>
      </w:r>
      <w:r w:rsidR="00F5750C">
        <w:t>,</w:t>
      </w:r>
      <w:r>
        <w:t xml:space="preserve"> </w:t>
      </w:r>
      <w:r w:rsidR="00F5750C">
        <w:t xml:space="preserve">Mortimore, 1991 or </w:t>
      </w:r>
      <w:r w:rsidR="00F5750C">
        <w:fldChar w:fldCharType="begin">
          <w:fldData xml:space="preserve">MABBADIANwA2ADkAMgBFADAAMAA3AEEAQQAzADYAOAA1ADYAMQAwADAAMAAwADgAMwAyAEMARgA2
ADUANgBFADcAMgA2ADYAMAAwADMARgA1AEYANwA4AEUANAAwADEAQwA0ADgARgA0ADEAMAAyADAA
MAAwADAAMAAwADEAQwBGADcAMwBGAEQAQgAzADUAMAAyADAAMAAwADAAMAAwADEANgA1AEIANQA0
ADYANQA2ADQANgA0ADYAQwA2ADkANgA1ADIAQwAyADAAMwAxADMAOQAzADkAMwA5ADIAMAAyADMA
MwAyADMAMQAzADkAMwA3ADUARAAwADAAMABDADAAMAAwADAAMAAwAA==
</w:fldData>
        </w:fldChar>
      </w:r>
      <w:r w:rsidR="00F5750C">
        <w:instrText xml:space="preserve"> ADDIN ENRfu </w:instrText>
      </w:r>
      <w:r w:rsidR="00F5750C">
        <w:fldChar w:fldCharType="separate"/>
      </w:r>
      <w:r w:rsidR="00F5750C">
        <w:t>Teddlie and Reynolds, 1999</w:t>
      </w:r>
      <w:r w:rsidR="00F5750C">
        <w:fldChar w:fldCharType="end"/>
      </w:r>
      <w:r>
        <w:t>), nor the literature on how to best measure school outputs (see Todd and Wolpin, 2003, or Leckie and Goldstein, 2009), would argue best measures what a school does to children’s education.  In fact, many would argue that what parents want to do is get the best value added for their children during their school years (i.e. the best improvement relative to the level</w:t>
      </w:r>
      <w:r w:rsidR="00AA5B40">
        <w:t xml:space="preserve"> of child achievement at </w:t>
      </w:r>
      <w:r>
        <w:t xml:space="preserve">school entry).  </w:t>
      </w:r>
    </w:p>
    <w:p w:rsidR="00781E5D" w:rsidRDefault="00581831" w:rsidP="00747BED">
      <w:pPr>
        <w:spacing w:line="480" w:lineRule="auto"/>
        <w:jc w:val="both"/>
      </w:pPr>
      <w:r>
        <w:tab/>
        <w:t>In Table 8</w:t>
      </w:r>
      <w:r w:rsidR="00781E5D">
        <w:t xml:space="preserve"> we th</w:t>
      </w:r>
      <w:r w:rsidR="002B1087">
        <w:t>erefore</w:t>
      </w:r>
      <w:r w:rsidR="00781E5D">
        <w:t xml:space="preserve"> measure school quality by value added in the primary school years.</w:t>
      </w:r>
      <w:r w:rsidR="00781E5D">
        <w:rPr>
          <w:rStyle w:val="FootnoteReference"/>
        </w:rPr>
        <w:footnoteReference w:id="6"/>
      </w:r>
      <w:r w:rsidR="00781E5D">
        <w:t xml:space="preserve"> As with the level of key stage 2 there is a </w:t>
      </w:r>
      <w:r w:rsidR="00222FF5">
        <w:t xml:space="preserve">positive </w:t>
      </w:r>
      <w:r w:rsidR="00781E5D">
        <w:t>house price premium associated with h</w:t>
      </w:r>
      <w:r w:rsidR="004F16B6">
        <w:t xml:space="preserve">igher value added. </w:t>
      </w:r>
      <w:r w:rsidR="00222FF5">
        <w:t>However, in the most stringent specifications the effects are only borderline significant and are smaller in terms of magnitudes at just over .02 of a standard deviation.</w:t>
      </w:r>
    </w:p>
    <w:p w:rsidR="00222FF5" w:rsidRPr="00781E5D" w:rsidRDefault="00581831" w:rsidP="00747BED">
      <w:pPr>
        <w:spacing w:line="480" w:lineRule="auto"/>
        <w:jc w:val="both"/>
      </w:pPr>
      <w:r>
        <w:tab/>
        <w:t>In Table 9</w:t>
      </w:r>
      <w:r w:rsidR="00222FF5">
        <w:t xml:space="preserve"> we enter both school quality variables and it turns out that the premium associated with key stage 2 is empirically more important than the premium associated with value added.  Indeed</w:t>
      </w:r>
      <w:r w:rsidR="00D63DFB">
        <w:t>,</w:t>
      </w:r>
      <w:r w:rsidR="00222FF5">
        <w:t xml:space="preserve"> in the most stringent models only the key stage 2 coefficient is statistically significant. Thus, despite the common sense notion that value added is what parents are most likely to pay for, our results suggest the headline (much higher profile) key stage 2 end of school level of performance is valued by more in the housing market.  </w:t>
      </w:r>
    </w:p>
    <w:p w:rsidR="00FE39FE" w:rsidRDefault="00FE39FE" w:rsidP="00747BED">
      <w:pPr>
        <w:spacing w:line="480" w:lineRule="auto"/>
        <w:jc w:val="both"/>
        <w:rPr>
          <w:u w:val="single"/>
        </w:rPr>
      </w:pPr>
    </w:p>
    <w:p w:rsidR="00FE39FE" w:rsidRDefault="00FE39FE" w:rsidP="00747BED">
      <w:pPr>
        <w:spacing w:line="480" w:lineRule="auto"/>
        <w:jc w:val="both"/>
        <w:rPr>
          <w:u w:val="single"/>
        </w:rPr>
      </w:pPr>
    </w:p>
    <w:p w:rsidR="00FE39FE" w:rsidRDefault="00FE39FE" w:rsidP="00747BED">
      <w:pPr>
        <w:spacing w:line="480" w:lineRule="auto"/>
        <w:jc w:val="both"/>
        <w:rPr>
          <w:u w:val="single"/>
        </w:rPr>
      </w:pPr>
    </w:p>
    <w:p w:rsidR="00747BED" w:rsidRDefault="00747BED" w:rsidP="00747BED">
      <w:pPr>
        <w:spacing w:line="480" w:lineRule="auto"/>
        <w:jc w:val="both"/>
        <w:rPr>
          <w:u w:val="single"/>
        </w:rPr>
      </w:pPr>
      <w:r>
        <w:rPr>
          <w:u w:val="single"/>
        </w:rPr>
        <w:lastRenderedPageBreak/>
        <w:t>IV. Concluding Remarks</w:t>
      </w:r>
    </w:p>
    <w:p w:rsidR="002F46F0" w:rsidRDefault="002F46F0" w:rsidP="00AA5B40">
      <w:pPr>
        <w:spacing w:line="480" w:lineRule="auto"/>
        <w:ind w:firstLine="720"/>
        <w:jc w:val="both"/>
      </w:pPr>
      <w:r>
        <w:t>In this paper we stu</w:t>
      </w:r>
      <w:r w:rsidR="00AA5B40">
        <w:t>dy the demand for better school quality</w:t>
      </w:r>
      <w:r>
        <w:t xml:space="preserve"> amongst parents with young children. Our analysis is based on two sets of empirical analysis, the first studying house moves amongst families with young children in the UK in the early 2000s, and the second studying house price premia associated with school quality for this cohort of young children before they enter school.</w:t>
      </w:r>
    </w:p>
    <w:p w:rsidR="002F46F0" w:rsidRDefault="002F46F0" w:rsidP="002F46F0">
      <w:pPr>
        <w:spacing w:line="480" w:lineRule="auto"/>
        <w:ind w:firstLine="720"/>
        <w:jc w:val="both"/>
      </w:pPr>
      <w:r>
        <w:t xml:space="preserve">Our approach contrasts with that taken by most of the literature on valuing school quality in at least two important ways.  First, we look at house moves and the relation between house prices and school quality before children enter school.  To our knowledge this has not been done in </w:t>
      </w:r>
      <w:r w:rsidR="00484078">
        <w:t>the literature before, even thou</w:t>
      </w:r>
      <w:r>
        <w:t>gh many people take very seriously the notion that parents (especially more educated and well-to-do parents</w:t>
      </w:r>
      <w:r w:rsidR="00B25F23">
        <w:t>)</w:t>
      </w:r>
      <w:r>
        <w:t xml:space="preserve"> do in fact ‘gear up’ their quest for what they perceive to be better schooling for their children when their children are at an early age.  Second, we use survey data where we have rich information (that is lacking in almost all hedonic valuations of school quality) on children and their parents, together with detailed housing attribute data.  Again, we are not aware of existing work that is able to implement this approach and thus the fact that our reported results display similarities with the research based on very different data is both reassuring and encouraging.  </w:t>
      </w:r>
    </w:p>
    <w:p w:rsidR="00AA5B40" w:rsidRDefault="00AA5B40" w:rsidP="00AA5B40">
      <w:pPr>
        <w:spacing w:line="480" w:lineRule="auto"/>
        <w:ind w:firstLine="720"/>
        <w:jc w:val="both"/>
      </w:pPr>
      <w:r>
        <w:t>W</w:t>
      </w:r>
      <w:r w:rsidR="002F46F0">
        <w:t>e present results showing that education related house moves do occur in the pre-school years and that parents are prepared to pay significant sums of money to buy a house located near to better performing primary schools</w:t>
      </w:r>
      <w:r w:rsidR="003E2670">
        <w:t xml:space="preserve"> before their children reach school starting age</w:t>
      </w:r>
      <w:r>
        <w:t xml:space="preserve">. We interpret this as compelling evidence for the hypothesis of strong demand for school quality in the early years. Indeed, it confirms that the phenomenon of 'selection by mortgage' is a very real one, even for families with early years children and this </w:t>
      </w:r>
      <w:r>
        <w:lastRenderedPageBreak/>
        <w:t xml:space="preserve">strategic motive for influencing school choice begins even before they </w:t>
      </w:r>
      <w:r w:rsidR="00A71919">
        <w:t xml:space="preserve">actually </w:t>
      </w:r>
      <w:r>
        <w:t>start school.</w:t>
      </w:r>
      <w:r w:rsidR="00C3060C">
        <w:t xml:space="preserve"> Finally, these findings matter as they identify a source of the inequality of academic abilities seen amongst children as they start school since children with higher pre-school cognitive abilities are more likely to move house - and their parents more willing to pay more to do so - in the pre-school years.</w:t>
      </w:r>
    </w:p>
    <w:p w:rsidR="002F46F0" w:rsidRDefault="002F46F0" w:rsidP="002F46F0">
      <w:pPr>
        <w:spacing w:line="480" w:lineRule="auto"/>
        <w:ind w:firstLine="720"/>
        <w:jc w:val="both"/>
      </w:pPr>
    </w:p>
    <w:p w:rsidR="00747BED" w:rsidRDefault="00747BED" w:rsidP="00747BED">
      <w:pPr>
        <w:spacing w:line="480" w:lineRule="auto"/>
        <w:jc w:val="both"/>
        <w:rPr>
          <w:u w:val="single"/>
        </w:rPr>
      </w:pPr>
    </w:p>
    <w:p w:rsidR="00747BED" w:rsidRDefault="00106DD8" w:rsidP="00106DD8">
      <w:pPr>
        <w:spacing w:line="480" w:lineRule="auto"/>
        <w:jc w:val="both"/>
        <w:rPr>
          <w:u w:val="single"/>
        </w:rPr>
      </w:pPr>
      <w:r>
        <w:rPr>
          <w:u w:val="single"/>
        </w:rPr>
        <w:br w:type="page"/>
      </w:r>
      <w:r w:rsidR="00747BED" w:rsidRPr="00DC76AC">
        <w:rPr>
          <w:u w:val="single"/>
        </w:rPr>
        <w:lastRenderedPageBreak/>
        <w:t>References</w:t>
      </w:r>
    </w:p>
    <w:p w:rsidR="00DC76AC" w:rsidRPr="00974B32" w:rsidRDefault="00DC76AC" w:rsidP="00974B32">
      <w:pPr>
        <w:ind w:left="720" w:hanging="720"/>
        <w:jc w:val="both"/>
      </w:pPr>
      <w:r w:rsidRPr="00974B32">
        <w:t xml:space="preserve">Bayer, P., F. Ferreira and R. McMillan (2007) A Unified Framework for Measuring </w:t>
      </w:r>
      <w:r w:rsidR="00961374">
        <w:t>P</w:t>
      </w:r>
      <w:r w:rsidRPr="00974B32">
        <w:t xml:space="preserve">references for Schools and Neighborhoods, </w:t>
      </w:r>
      <w:r w:rsidRPr="00974B32">
        <w:rPr>
          <w:iCs/>
          <w:u w:val="single"/>
        </w:rPr>
        <w:t>Journal of Political Economy</w:t>
      </w:r>
      <w:r w:rsidRPr="00974B32">
        <w:t>, 115, 588-638.</w:t>
      </w:r>
    </w:p>
    <w:p w:rsidR="00A229C3" w:rsidRPr="00974B32" w:rsidRDefault="00A229C3" w:rsidP="00974B32">
      <w:pPr>
        <w:ind w:left="720" w:hanging="720"/>
        <w:jc w:val="both"/>
      </w:pPr>
    </w:p>
    <w:p w:rsidR="00A229C3" w:rsidRPr="00974B32" w:rsidRDefault="00A229C3" w:rsidP="00974B32">
      <w:pPr>
        <w:ind w:left="720" w:hanging="720"/>
        <w:jc w:val="both"/>
      </w:pPr>
      <w:r w:rsidRPr="00974B32">
        <w:t xml:space="preserve">Black, S. (1999) Do Better Schools Matter? Parental Valuation of Elementary Education, </w:t>
      </w:r>
      <w:r w:rsidRPr="00974B32">
        <w:rPr>
          <w:u w:val="single"/>
        </w:rPr>
        <w:t>Quarterly Journal of Economic</w:t>
      </w:r>
      <w:r w:rsidRPr="00974B32">
        <w:rPr>
          <w:iCs/>
          <w:u w:val="single"/>
        </w:rPr>
        <w:t>s</w:t>
      </w:r>
      <w:r w:rsidRPr="00974B32">
        <w:t xml:space="preserve">, </w:t>
      </w:r>
      <w:r w:rsidRPr="00974B32">
        <w:rPr>
          <w:bCs/>
        </w:rPr>
        <w:t>114, 577-599</w:t>
      </w:r>
      <w:r w:rsidRPr="00974B32">
        <w:t>.</w:t>
      </w:r>
    </w:p>
    <w:p w:rsidR="00765128" w:rsidRDefault="00765128" w:rsidP="00974B32">
      <w:pPr>
        <w:ind w:left="720" w:hanging="720"/>
        <w:jc w:val="both"/>
      </w:pPr>
    </w:p>
    <w:p w:rsidR="00727982" w:rsidRDefault="00727982" w:rsidP="00727982">
      <w:pPr>
        <w:ind w:left="709" w:hanging="709"/>
        <w:jc w:val="both"/>
      </w:pPr>
      <w:r>
        <w:t xml:space="preserve">Black, S. and S. Machin (2010) Housing Valuations of School Performance, forthcoming in E. Hanushek, S. Machin and L. Woessmann (eds.) </w:t>
      </w:r>
      <w:r w:rsidRPr="00C26FAF">
        <w:rPr>
          <w:u w:val="single"/>
        </w:rPr>
        <w:t>Handbook of the Economics of Education</w:t>
      </w:r>
      <w:r>
        <w:t>, Amsterdam:  Elsevier.</w:t>
      </w:r>
    </w:p>
    <w:p w:rsidR="00900E76" w:rsidRDefault="00900E76" w:rsidP="00727982">
      <w:pPr>
        <w:ind w:left="709" w:hanging="709"/>
        <w:jc w:val="both"/>
      </w:pPr>
    </w:p>
    <w:p w:rsidR="00233A37" w:rsidRPr="00233A37" w:rsidRDefault="00233A37" w:rsidP="00233A37">
      <w:pPr>
        <w:ind w:left="720" w:hanging="720"/>
        <w:jc w:val="both"/>
      </w:pPr>
      <w:r w:rsidRPr="00233A37">
        <w:t xml:space="preserve">Blau, D. and J. Currie (2006) </w:t>
      </w:r>
      <w:hyperlink r:id="rId16" w:history="1">
        <w:r w:rsidRPr="00233A37">
          <w:rPr>
            <w:rStyle w:val="Hyperlink"/>
            <w:bCs/>
            <w:color w:val="auto"/>
            <w:u w:val="none"/>
          </w:rPr>
          <w:t>Pre-School, Day Care, and After-School Care: Who's Minding the Kids?</w:t>
        </w:r>
      </w:hyperlink>
      <w:r w:rsidRPr="00233A37">
        <w:t xml:space="preserve">, </w:t>
      </w:r>
      <w:r w:rsidR="00B54610">
        <w:t>in E. H</w:t>
      </w:r>
      <w:r>
        <w:t>an</w:t>
      </w:r>
      <w:r w:rsidR="00B54610">
        <w:t>u</w:t>
      </w:r>
      <w:r>
        <w:t xml:space="preserve">shek and F. Welch (eds.) </w:t>
      </w:r>
      <w:hyperlink r:id="rId17" w:history="1">
        <w:r w:rsidRPr="00233A37">
          <w:rPr>
            <w:rStyle w:val="Hyperlink"/>
            <w:color w:val="auto"/>
            <w:u w:val="none"/>
          </w:rPr>
          <w:t>Handbook of the Economics of Education</w:t>
        </w:r>
      </w:hyperlink>
      <w:r w:rsidRPr="00233A37">
        <w:t xml:space="preserve">, Elsevier. </w:t>
      </w:r>
    </w:p>
    <w:p w:rsidR="00233A37" w:rsidRDefault="00233A37" w:rsidP="00727982">
      <w:pPr>
        <w:ind w:left="709" w:hanging="709"/>
        <w:jc w:val="both"/>
      </w:pPr>
    </w:p>
    <w:p w:rsidR="00900E76" w:rsidRPr="009F0D61" w:rsidRDefault="00900E76" w:rsidP="00900E76">
      <w:pPr>
        <w:autoSpaceDE w:val="0"/>
        <w:autoSpaceDN w:val="0"/>
        <w:adjustRightInd w:val="0"/>
        <w:ind w:left="720" w:hanging="720"/>
        <w:jc w:val="both"/>
      </w:pPr>
      <w:r>
        <w:t>Bogart</w:t>
      </w:r>
      <w:r w:rsidRPr="009F0D61">
        <w:t>,</w:t>
      </w:r>
      <w:r>
        <w:t xml:space="preserve"> </w:t>
      </w:r>
      <w:r w:rsidRPr="009F0D61">
        <w:t>W. and B. Cromwell (1997</w:t>
      </w:r>
      <w:r w:rsidR="00C50B7C" w:rsidRPr="009F0D61">
        <w:t>) How</w:t>
      </w:r>
      <w:r w:rsidRPr="009F0D61">
        <w:t xml:space="preserve"> Much More Is a Good School District Worth?</w:t>
      </w:r>
      <w:r>
        <w:t>,</w:t>
      </w:r>
      <w:r w:rsidRPr="009F0D61">
        <w:t xml:space="preserve"> </w:t>
      </w:r>
      <w:r w:rsidRPr="00456EAD">
        <w:rPr>
          <w:u w:val="single"/>
        </w:rPr>
        <w:t>National Tax Journal</w:t>
      </w:r>
      <w:r>
        <w:t xml:space="preserve">, </w:t>
      </w:r>
      <w:r w:rsidRPr="009F0D61">
        <w:t>50</w:t>
      </w:r>
      <w:r>
        <w:t>,</w:t>
      </w:r>
      <w:r w:rsidRPr="009F0D61">
        <w:t xml:space="preserve">  215-232.</w:t>
      </w:r>
    </w:p>
    <w:p w:rsidR="00727982" w:rsidRPr="00974B32" w:rsidRDefault="00727982" w:rsidP="00974B32">
      <w:pPr>
        <w:ind w:left="720" w:hanging="720"/>
        <w:jc w:val="both"/>
      </w:pPr>
    </w:p>
    <w:p w:rsidR="00765128" w:rsidRPr="00974B32" w:rsidRDefault="00765128" w:rsidP="00C50B7C">
      <w:pPr>
        <w:autoSpaceDE w:val="0"/>
        <w:autoSpaceDN w:val="0"/>
        <w:adjustRightInd w:val="0"/>
        <w:ind w:left="720" w:hanging="720"/>
        <w:jc w:val="both"/>
        <w:rPr>
          <w:color w:val="000000"/>
          <w:lang w:val="en-US"/>
        </w:rPr>
      </w:pPr>
      <w:r w:rsidRPr="00974B32">
        <w:rPr>
          <w:color w:val="000000"/>
          <w:lang w:val="en-US"/>
        </w:rPr>
        <w:t>B</w:t>
      </w:r>
      <w:r w:rsidR="00974B32">
        <w:rPr>
          <w:color w:val="000000"/>
          <w:lang w:val="en-US"/>
        </w:rPr>
        <w:t xml:space="preserve">oheim, R. and </w:t>
      </w:r>
      <w:r w:rsidR="00C50B7C">
        <w:rPr>
          <w:color w:val="000000"/>
          <w:lang w:val="en-US"/>
        </w:rPr>
        <w:t xml:space="preserve">M. </w:t>
      </w:r>
      <w:r w:rsidR="00974B32">
        <w:rPr>
          <w:color w:val="000000"/>
          <w:lang w:val="en-US"/>
        </w:rPr>
        <w:t>Taylor</w:t>
      </w:r>
      <w:r w:rsidR="00C50B7C">
        <w:rPr>
          <w:color w:val="000000"/>
          <w:lang w:val="en-US"/>
        </w:rPr>
        <w:t xml:space="preserve"> </w:t>
      </w:r>
      <w:r w:rsidR="00974B32">
        <w:rPr>
          <w:color w:val="000000"/>
          <w:lang w:val="en-US"/>
        </w:rPr>
        <w:t xml:space="preserve">(2002) </w:t>
      </w:r>
      <w:r w:rsidRPr="00974B32">
        <w:rPr>
          <w:color w:val="000000"/>
          <w:lang w:val="en-US"/>
        </w:rPr>
        <w:t>Tied Down or Room to Move? Investigating the</w:t>
      </w:r>
      <w:r w:rsidR="00C50B7C">
        <w:rPr>
          <w:color w:val="000000"/>
          <w:lang w:val="en-US"/>
        </w:rPr>
        <w:t xml:space="preserve"> </w:t>
      </w:r>
      <w:r w:rsidRPr="00974B32">
        <w:rPr>
          <w:color w:val="000000"/>
          <w:lang w:val="en-US"/>
        </w:rPr>
        <w:t>Relationships Between Housing Tenure, Employment Status and Residential</w:t>
      </w:r>
      <w:r w:rsidR="00974B32">
        <w:rPr>
          <w:color w:val="000000"/>
          <w:lang w:val="en-US"/>
        </w:rPr>
        <w:t xml:space="preserve"> Mobility in Britain</w:t>
      </w:r>
      <w:r w:rsidRPr="00974B32">
        <w:rPr>
          <w:color w:val="000000"/>
          <w:lang w:val="en-US"/>
        </w:rPr>
        <w:t xml:space="preserve">, </w:t>
      </w:r>
      <w:r w:rsidRPr="00974B32">
        <w:rPr>
          <w:iCs/>
          <w:color w:val="000000"/>
          <w:u w:val="single"/>
          <w:lang w:val="en-US"/>
        </w:rPr>
        <w:t>Scottish Journal of Political Economy</w:t>
      </w:r>
      <w:r w:rsidR="00C50B7C">
        <w:rPr>
          <w:color w:val="000000"/>
          <w:lang w:val="en-US"/>
        </w:rPr>
        <w:t>, 49,</w:t>
      </w:r>
      <w:r w:rsidRPr="00974B32">
        <w:rPr>
          <w:color w:val="000000"/>
          <w:lang w:val="en-US"/>
        </w:rPr>
        <w:t xml:space="preserve"> 369-392.</w:t>
      </w:r>
    </w:p>
    <w:p w:rsidR="00765128" w:rsidRPr="00974B32" w:rsidRDefault="00765128" w:rsidP="00C50B7C">
      <w:pPr>
        <w:ind w:left="720" w:hanging="720"/>
        <w:jc w:val="both"/>
      </w:pPr>
    </w:p>
    <w:p w:rsidR="00765128" w:rsidRPr="00974B32" w:rsidRDefault="00C219A6" w:rsidP="00974B32">
      <w:pPr>
        <w:autoSpaceDE w:val="0"/>
        <w:autoSpaceDN w:val="0"/>
        <w:adjustRightInd w:val="0"/>
        <w:ind w:left="720" w:hanging="720"/>
        <w:jc w:val="both"/>
        <w:rPr>
          <w:color w:val="000000"/>
          <w:lang w:val="en-US"/>
        </w:rPr>
      </w:pPr>
      <w:r>
        <w:rPr>
          <w:color w:val="000000"/>
          <w:lang w:val="en-US"/>
        </w:rPr>
        <w:t>Boyle, P.</w:t>
      </w:r>
      <w:r w:rsidR="00765128" w:rsidRPr="00974B32">
        <w:rPr>
          <w:color w:val="000000"/>
          <w:lang w:val="en-US"/>
        </w:rPr>
        <w:t xml:space="preserve">, </w:t>
      </w:r>
      <w:r>
        <w:rPr>
          <w:color w:val="000000"/>
          <w:lang w:val="en-US"/>
        </w:rPr>
        <w:t xml:space="preserve">H. </w:t>
      </w:r>
      <w:r w:rsidR="00765128" w:rsidRPr="00974B32">
        <w:rPr>
          <w:color w:val="000000"/>
          <w:lang w:val="en-US"/>
        </w:rPr>
        <w:t xml:space="preserve">Kulu, </w:t>
      </w:r>
      <w:r>
        <w:rPr>
          <w:color w:val="000000"/>
          <w:lang w:val="en-US"/>
        </w:rPr>
        <w:t xml:space="preserve">T. </w:t>
      </w:r>
      <w:r w:rsidR="00765128" w:rsidRPr="00974B32">
        <w:rPr>
          <w:color w:val="000000"/>
          <w:lang w:val="en-US"/>
        </w:rPr>
        <w:t xml:space="preserve">Cooke, </w:t>
      </w:r>
      <w:r>
        <w:rPr>
          <w:color w:val="000000"/>
          <w:lang w:val="en-US"/>
        </w:rPr>
        <w:t>V. Gayle</w:t>
      </w:r>
      <w:r w:rsidR="00765128" w:rsidRPr="00974B32">
        <w:rPr>
          <w:color w:val="000000"/>
          <w:lang w:val="en-US"/>
        </w:rPr>
        <w:t xml:space="preserve"> and </w:t>
      </w:r>
      <w:r>
        <w:rPr>
          <w:color w:val="000000"/>
          <w:lang w:val="en-US"/>
        </w:rPr>
        <w:t xml:space="preserve">C. </w:t>
      </w:r>
      <w:r w:rsidR="00765128" w:rsidRPr="00974B32">
        <w:rPr>
          <w:color w:val="000000"/>
          <w:lang w:val="en-US"/>
        </w:rPr>
        <w:t xml:space="preserve">Mulder (2008) Moving and Union Dissolution, </w:t>
      </w:r>
      <w:r w:rsidR="00765128" w:rsidRPr="00974B32">
        <w:rPr>
          <w:iCs/>
          <w:color w:val="000000"/>
          <w:u w:val="single"/>
          <w:lang w:val="en-US"/>
        </w:rPr>
        <w:t>Demography</w:t>
      </w:r>
      <w:r w:rsidR="00765128" w:rsidRPr="00974B32">
        <w:rPr>
          <w:color w:val="000000"/>
          <w:lang w:val="en-US"/>
        </w:rPr>
        <w:t>, 45, 209-222.</w:t>
      </w:r>
    </w:p>
    <w:p w:rsidR="00DC76AC" w:rsidRDefault="00DC76AC" w:rsidP="00974B32">
      <w:pPr>
        <w:ind w:left="720" w:hanging="720"/>
        <w:jc w:val="both"/>
      </w:pPr>
    </w:p>
    <w:p w:rsidR="00106DD8" w:rsidRDefault="00106DD8" w:rsidP="00106DD8">
      <w:pPr>
        <w:ind w:left="720" w:hanging="720"/>
        <w:jc w:val="both"/>
      </w:pPr>
      <w:r>
        <w:t>Bracken, B. (1998) Bracken Basic Concept Scale - Revised, San Antonio, Texas: The Psychological Corporation.</w:t>
      </w:r>
    </w:p>
    <w:p w:rsidR="00106DD8" w:rsidRDefault="00106DD8" w:rsidP="00106DD8"/>
    <w:p w:rsidR="00DC76AC" w:rsidRPr="00974B32" w:rsidRDefault="00DC76AC" w:rsidP="00974B32">
      <w:pPr>
        <w:ind w:left="720" w:hanging="720"/>
        <w:jc w:val="both"/>
      </w:pPr>
      <w:r w:rsidRPr="00974B32">
        <w:t xml:space="preserve">Brasington, D. and D. Haurin (2006) Educational Outcomes and House Values: A Test of the Value Added Approach, </w:t>
      </w:r>
      <w:r w:rsidRPr="00974B32">
        <w:rPr>
          <w:iCs/>
          <w:u w:val="single"/>
        </w:rPr>
        <w:t>Journal of Regional Science</w:t>
      </w:r>
      <w:r w:rsidRPr="00974B32">
        <w:t>, 46, 245-268.</w:t>
      </w:r>
    </w:p>
    <w:p w:rsidR="00DC76AC" w:rsidRPr="00974B32" w:rsidRDefault="00DC76AC" w:rsidP="00974B32">
      <w:pPr>
        <w:ind w:left="720" w:hanging="720"/>
        <w:jc w:val="both"/>
      </w:pPr>
    </w:p>
    <w:p w:rsidR="007455FC" w:rsidRPr="00974B32" w:rsidRDefault="00C219A6" w:rsidP="00974B32">
      <w:pPr>
        <w:ind w:left="720" w:hanging="720"/>
        <w:jc w:val="both"/>
      </w:pPr>
      <w:r>
        <w:t xml:space="preserve">Buck, N. (2000) Housing Location and Residential Mobility, in R. Berthoud and J. Gershuny (eds.) </w:t>
      </w:r>
      <w:r w:rsidRPr="00C219A6">
        <w:rPr>
          <w:u w:val="single"/>
        </w:rPr>
        <w:t>Seven Years in the Lives of British Families</w:t>
      </w:r>
      <w:r>
        <w:t>, London: Policy Press.</w:t>
      </w:r>
    </w:p>
    <w:p w:rsidR="007455FC" w:rsidRPr="00974B32" w:rsidRDefault="007455FC" w:rsidP="00974B32">
      <w:pPr>
        <w:ind w:left="720" w:hanging="720"/>
        <w:jc w:val="both"/>
      </w:pPr>
    </w:p>
    <w:p w:rsidR="00DC76AC" w:rsidRPr="00974B32" w:rsidRDefault="00DC76AC" w:rsidP="00974B32">
      <w:pPr>
        <w:ind w:left="720" w:hanging="720"/>
        <w:jc w:val="both"/>
      </w:pPr>
      <w:r w:rsidRPr="00974B32">
        <w:t xml:space="preserve">Clapp, J., A. Nanda and S. Ross (2008) Which School Attributes Matter? The Influence of School District Performance and Demographic Composition on Property Values, </w:t>
      </w:r>
      <w:r w:rsidRPr="00974B32">
        <w:rPr>
          <w:iCs/>
          <w:u w:val="single"/>
        </w:rPr>
        <w:t>Journal of Urban Economics</w:t>
      </w:r>
      <w:r w:rsidRPr="00974B32">
        <w:t>, 63, 451-466.</w:t>
      </w:r>
    </w:p>
    <w:p w:rsidR="00DC76AC" w:rsidRPr="00974B32" w:rsidRDefault="00DC76AC" w:rsidP="00974B32">
      <w:pPr>
        <w:ind w:left="720" w:hanging="720"/>
        <w:jc w:val="both"/>
      </w:pPr>
    </w:p>
    <w:p w:rsidR="00DC76AC" w:rsidRPr="00974B32" w:rsidRDefault="00DC76AC" w:rsidP="00974B32">
      <w:pPr>
        <w:ind w:left="720" w:hanging="720"/>
        <w:jc w:val="both"/>
      </w:pPr>
      <w:r w:rsidRPr="00974B32">
        <w:t xml:space="preserve">Gibbons, S. and S. Machin (2003) </w:t>
      </w:r>
      <w:r w:rsidRPr="00974B32">
        <w:rPr>
          <w:rStyle w:val="HTMLCite"/>
          <w:i w:val="0"/>
          <w:iCs w:val="0"/>
        </w:rPr>
        <w:t>Valuing English Primary Schools</w:t>
      </w:r>
      <w:r w:rsidRPr="00974B32">
        <w:t xml:space="preserve">, </w:t>
      </w:r>
      <w:r w:rsidRPr="00974B32">
        <w:rPr>
          <w:iCs/>
          <w:u w:val="single"/>
        </w:rPr>
        <w:t>Journal of Urban Economics</w:t>
      </w:r>
      <w:r w:rsidRPr="00974B32">
        <w:t>, 53, 197-219.</w:t>
      </w:r>
    </w:p>
    <w:p w:rsidR="00DC76AC" w:rsidRPr="00974B32" w:rsidRDefault="00DC76AC" w:rsidP="00974B32">
      <w:pPr>
        <w:ind w:left="720" w:hanging="720"/>
        <w:jc w:val="both"/>
      </w:pPr>
    </w:p>
    <w:p w:rsidR="00DC76AC" w:rsidRPr="00974B32" w:rsidRDefault="00DC76AC" w:rsidP="00974B32">
      <w:pPr>
        <w:ind w:left="720" w:hanging="720"/>
        <w:jc w:val="both"/>
      </w:pPr>
      <w:r w:rsidRPr="00974B32">
        <w:t xml:space="preserve">Gibbons, S. and S. Machin (2006) Paying for Primary Schools: Admissions Constraints, School Popularity or Congestion, </w:t>
      </w:r>
      <w:r w:rsidRPr="00974B32">
        <w:rPr>
          <w:iCs/>
          <w:u w:val="single"/>
        </w:rPr>
        <w:t>Economic Journal</w:t>
      </w:r>
      <w:r w:rsidRPr="00974B32">
        <w:rPr>
          <w:i/>
        </w:rPr>
        <w:t>,</w:t>
      </w:r>
      <w:r w:rsidR="00C219A6">
        <w:rPr>
          <w:i/>
        </w:rPr>
        <w:t xml:space="preserve"> </w:t>
      </w:r>
      <w:r w:rsidRPr="00974B32">
        <w:t>116, C77-C92.</w:t>
      </w:r>
    </w:p>
    <w:p w:rsidR="00DC76AC" w:rsidRPr="00974B32" w:rsidRDefault="00DC76AC" w:rsidP="00974B32">
      <w:pPr>
        <w:ind w:left="720" w:hanging="720"/>
        <w:jc w:val="both"/>
      </w:pPr>
    </w:p>
    <w:p w:rsidR="00747BED" w:rsidRPr="00974B32" w:rsidRDefault="00DC76AC" w:rsidP="00974B32">
      <w:pPr>
        <w:ind w:left="720" w:hanging="720"/>
        <w:jc w:val="both"/>
      </w:pPr>
      <w:r w:rsidRPr="00974B32">
        <w:lastRenderedPageBreak/>
        <w:t xml:space="preserve">Gibbons, S and S. Machin (2008) Valuing School Quality, Better Transport and Lower Crime: Evidence from House Prices, </w:t>
      </w:r>
      <w:r w:rsidRPr="00974B32">
        <w:rPr>
          <w:iCs/>
          <w:u w:val="single"/>
        </w:rPr>
        <w:t>Oxford Review of Economic Policy</w:t>
      </w:r>
      <w:r w:rsidR="00C219A6">
        <w:t xml:space="preserve">, </w:t>
      </w:r>
      <w:r w:rsidRPr="00974B32">
        <w:t>24, 99-119.</w:t>
      </w:r>
    </w:p>
    <w:p w:rsidR="00DC76AC" w:rsidRPr="00974B32" w:rsidRDefault="00DC76AC" w:rsidP="00974B32">
      <w:pPr>
        <w:ind w:left="720" w:hanging="720"/>
        <w:jc w:val="both"/>
      </w:pPr>
    </w:p>
    <w:p w:rsidR="00DC76AC" w:rsidRPr="00974B32" w:rsidRDefault="00DC76AC" w:rsidP="00974B32">
      <w:pPr>
        <w:ind w:left="720" w:hanging="720"/>
        <w:jc w:val="both"/>
      </w:pPr>
      <w:r w:rsidRPr="00974B32">
        <w:t xml:space="preserve">Gibbons, S., S. Machin and O. Silva (2008) Valuing School Quality </w:t>
      </w:r>
      <w:r w:rsidR="00974B32">
        <w:t>Using Discontinuity Regressions</w:t>
      </w:r>
      <w:r w:rsidRPr="00974B32">
        <w:t>, CEE mimeo.</w:t>
      </w:r>
    </w:p>
    <w:p w:rsidR="00DC76AC" w:rsidRPr="00974B32" w:rsidRDefault="00DC76AC" w:rsidP="00974B32">
      <w:pPr>
        <w:ind w:left="720" w:hanging="720"/>
        <w:jc w:val="both"/>
      </w:pPr>
    </w:p>
    <w:p w:rsidR="00727982" w:rsidRPr="00EB7AF3" w:rsidRDefault="00727982" w:rsidP="00727982">
      <w:pPr>
        <w:autoSpaceDE w:val="0"/>
        <w:autoSpaceDN w:val="0"/>
        <w:adjustRightInd w:val="0"/>
        <w:ind w:left="720" w:hanging="720"/>
        <w:jc w:val="both"/>
      </w:pPr>
      <w:r w:rsidRPr="00EB7AF3">
        <w:t xml:space="preserve">Gibbons, S. and O. Silva (2009) </w:t>
      </w:r>
      <w:r w:rsidRPr="00EB7AF3">
        <w:rPr>
          <w:color w:val="000000"/>
        </w:rPr>
        <w:t>School Quality, Child Wellbeing and Parents’ Satisfaction, Centre for the Economics of Education Discussion Paper 103.</w:t>
      </w:r>
    </w:p>
    <w:p w:rsidR="00765128" w:rsidRDefault="00765128" w:rsidP="00974B32">
      <w:pPr>
        <w:ind w:left="720" w:hanging="720"/>
        <w:jc w:val="both"/>
        <w:rPr>
          <w:color w:val="000000"/>
        </w:rPr>
      </w:pPr>
    </w:p>
    <w:p w:rsidR="00233A37" w:rsidRDefault="00233A37" w:rsidP="00974B32">
      <w:pPr>
        <w:ind w:left="720" w:hanging="720"/>
        <w:jc w:val="both"/>
        <w:rPr>
          <w:color w:val="000000"/>
        </w:rPr>
      </w:pPr>
      <w:r>
        <w:rPr>
          <w:color w:val="000000"/>
        </w:rPr>
        <w:t>Goodman, A., L. Sibieta and E. Washbrook (2009) Inequalities in Educational Outcomes Among Children Aged 3 to 16, Report for the National Equality Panel, London.</w:t>
      </w:r>
    </w:p>
    <w:p w:rsidR="00233A37" w:rsidRDefault="00233A37" w:rsidP="00974B32">
      <w:pPr>
        <w:ind w:left="720" w:hanging="720"/>
        <w:jc w:val="both"/>
        <w:rPr>
          <w:color w:val="000000"/>
        </w:rPr>
      </w:pPr>
    </w:p>
    <w:p w:rsidR="00106DD8" w:rsidRDefault="00106DD8" w:rsidP="00106DD8">
      <w:pPr>
        <w:ind w:left="720" w:hanging="720"/>
        <w:jc w:val="both"/>
      </w:pPr>
      <w:r>
        <w:t xml:space="preserve">Goodman, R. (1997) The Strengths and Difficulties Questionnaire: A Research Note, </w:t>
      </w:r>
      <w:r w:rsidRPr="00106DD8">
        <w:rPr>
          <w:u w:val="single"/>
        </w:rPr>
        <w:t>Journal of Child Psychology and Psychiatry</w:t>
      </w:r>
      <w:r>
        <w:t>, 38: 581-586.</w:t>
      </w:r>
    </w:p>
    <w:p w:rsidR="00106DD8" w:rsidRDefault="00106DD8" w:rsidP="00106DD8">
      <w:pPr>
        <w:ind w:left="720" w:hanging="720"/>
        <w:jc w:val="both"/>
      </w:pPr>
    </w:p>
    <w:p w:rsidR="00106DD8" w:rsidRDefault="00106DD8" w:rsidP="00106DD8">
      <w:pPr>
        <w:ind w:left="720" w:hanging="720"/>
        <w:jc w:val="both"/>
      </w:pPr>
      <w:r>
        <w:t xml:space="preserve">Goodman, R. (2001) Psychometric Properties of the Strengths and Difficulties Questionnaire (SDQ), </w:t>
      </w:r>
      <w:r w:rsidRPr="00106DD8">
        <w:rPr>
          <w:u w:val="single"/>
        </w:rPr>
        <w:t>Journal of the American Academy of Child and Adolescent Psychiatry</w:t>
      </w:r>
      <w:r>
        <w:t>, 40, 1337-1345.</w:t>
      </w:r>
    </w:p>
    <w:p w:rsidR="00106DD8" w:rsidRDefault="00106DD8" w:rsidP="00106DD8">
      <w:pPr>
        <w:ind w:left="720" w:hanging="720"/>
        <w:jc w:val="both"/>
      </w:pPr>
    </w:p>
    <w:p w:rsidR="00106DD8" w:rsidRDefault="00106DD8" w:rsidP="00106DD8">
      <w:pPr>
        <w:ind w:left="720" w:hanging="720"/>
        <w:jc w:val="both"/>
      </w:pPr>
      <w:r>
        <w:t xml:space="preserve">Goodman, R., H. Meltzer and V. Bailey (1998) The Strengths and Difficulties Questionnaire: A pilot study on the validity of the self-report version, </w:t>
      </w:r>
      <w:r w:rsidRPr="00106DD8">
        <w:rPr>
          <w:u w:val="single"/>
        </w:rPr>
        <w:t>European Child and Adolescent Psychiatry</w:t>
      </w:r>
      <w:r>
        <w:t>, 7, 125-130.</w:t>
      </w:r>
    </w:p>
    <w:p w:rsidR="00106DD8" w:rsidRDefault="00106DD8" w:rsidP="00EA4399">
      <w:pPr>
        <w:autoSpaceDE w:val="0"/>
        <w:autoSpaceDN w:val="0"/>
        <w:adjustRightInd w:val="0"/>
        <w:ind w:left="720" w:hanging="720"/>
        <w:jc w:val="both"/>
        <w:rPr>
          <w:lang w:val="en-US"/>
        </w:rPr>
      </w:pPr>
    </w:p>
    <w:p w:rsidR="00233A37" w:rsidRPr="00233A37" w:rsidRDefault="00233A37" w:rsidP="00233A37">
      <w:pPr>
        <w:ind w:left="720" w:hanging="720"/>
        <w:jc w:val="both"/>
        <w:rPr>
          <w:lang w:eastAsia="en-GB"/>
        </w:rPr>
      </w:pPr>
      <w:r>
        <w:rPr>
          <w:lang w:val="en-US"/>
        </w:rPr>
        <w:t xml:space="preserve">Heckman, J. and D. Masterov (2007) </w:t>
      </w:r>
      <w:r w:rsidRPr="00233A37">
        <w:rPr>
          <w:lang w:eastAsia="en-GB"/>
        </w:rPr>
        <w:t xml:space="preserve">The Productivity Argument for Investing </w:t>
      </w:r>
      <w:r>
        <w:rPr>
          <w:lang w:eastAsia="en-GB"/>
        </w:rPr>
        <w:t>in Young Children,</w:t>
      </w:r>
      <w:r w:rsidRPr="00233A37">
        <w:rPr>
          <w:lang w:eastAsia="en-GB"/>
        </w:rPr>
        <w:t xml:space="preserve"> </w:t>
      </w:r>
      <w:r w:rsidRPr="00233A37">
        <w:rPr>
          <w:u w:val="single"/>
          <w:lang w:eastAsia="en-GB"/>
        </w:rPr>
        <w:t>Review of Agricultural Economics</w:t>
      </w:r>
      <w:r w:rsidRPr="00233A37">
        <w:rPr>
          <w:lang w:eastAsia="en-GB"/>
        </w:rPr>
        <w:t xml:space="preserve">, American Agricultural Economics Association, </w:t>
      </w:r>
      <w:r>
        <w:rPr>
          <w:lang w:eastAsia="en-GB"/>
        </w:rPr>
        <w:t>29, 446-493.</w:t>
      </w:r>
    </w:p>
    <w:p w:rsidR="00233A37" w:rsidRDefault="00233A37" w:rsidP="00EA4399">
      <w:pPr>
        <w:autoSpaceDE w:val="0"/>
        <w:autoSpaceDN w:val="0"/>
        <w:adjustRightInd w:val="0"/>
        <w:ind w:left="720" w:hanging="720"/>
        <w:jc w:val="both"/>
        <w:rPr>
          <w:lang w:val="en-US"/>
        </w:rPr>
      </w:pPr>
    </w:p>
    <w:p w:rsidR="00765128" w:rsidRPr="00974B32" w:rsidRDefault="00765128" w:rsidP="00EA4399">
      <w:pPr>
        <w:autoSpaceDE w:val="0"/>
        <w:autoSpaceDN w:val="0"/>
        <w:adjustRightInd w:val="0"/>
        <w:ind w:left="720" w:hanging="720"/>
        <w:jc w:val="both"/>
        <w:rPr>
          <w:lang w:val="en-US"/>
        </w:rPr>
      </w:pPr>
      <w:r w:rsidRPr="00974B32">
        <w:rPr>
          <w:lang w:val="en-US"/>
        </w:rPr>
        <w:t xml:space="preserve">Hughes, G., </w:t>
      </w:r>
      <w:r w:rsidR="00EA4399">
        <w:rPr>
          <w:lang w:val="en-US"/>
        </w:rPr>
        <w:t xml:space="preserve">S. </w:t>
      </w:r>
      <w:r w:rsidRPr="00974B32">
        <w:rPr>
          <w:lang w:val="en-US"/>
        </w:rPr>
        <w:t>Ke</w:t>
      </w:r>
      <w:r w:rsidR="00974B32">
        <w:rPr>
          <w:lang w:val="en-US"/>
        </w:rPr>
        <w:t xml:space="preserve">tende and </w:t>
      </w:r>
      <w:r w:rsidR="00EA4399">
        <w:rPr>
          <w:lang w:val="en-US"/>
        </w:rPr>
        <w:t xml:space="preserve">I. </w:t>
      </w:r>
      <w:r w:rsidR="00974B32">
        <w:rPr>
          <w:lang w:val="en-US"/>
        </w:rPr>
        <w:t>Plewis</w:t>
      </w:r>
      <w:r w:rsidR="00EA4399">
        <w:rPr>
          <w:lang w:val="en-US"/>
        </w:rPr>
        <w:t xml:space="preserve"> </w:t>
      </w:r>
      <w:r w:rsidR="00974B32">
        <w:rPr>
          <w:lang w:val="en-US"/>
        </w:rPr>
        <w:t xml:space="preserve">(2007) </w:t>
      </w:r>
      <w:r w:rsidRPr="00974B32">
        <w:rPr>
          <w:lang w:val="en-US"/>
        </w:rPr>
        <w:t>Housing, Neighbourhood and</w:t>
      </w:r>
      <w:r w:rsidR="00974B32">
        <w:rPr>
          <w:lang w:val="en-US"/>
        </w:rPr>
        <w:t xml:space="preserve"> Community, </w:t>
      </w:r>
      <w:r w:rsidRPr="00974B32">
        <w:rPr>
          <w:lang w:val="en-US"/>
        </w:rPr>
        <w:t>CLS Briefing 2.</w:t>
      </w:r>
    </w:p>
    <w:p w:rsidR="00765128" w:rsidRPr="00974B32" w:rsidRDefault="00765128" w:rsidP="00974B32">
      <w:pPr>
        <w:autoSpaceDE w:val="0"/>
        <w:autoSpaceDN w:val="0"/>
        <w:adjustRightInd w:val="0"/>
        <w:ind w:left="720" w:hanging="720"/>
        <w:jc w:val="both"/>
        <w:rPr>
          <w:lang w:val="en-US"/>
        </w:rPr>
      </w:pPr>
    </w:p>
    <w:p w:rsidR="00765128" w:rsidRDefault="00765128" w:rsidP="00974B32">
      <w:pPr>
        <w:autoSpaceDE w:val="0"/>
        <w:autoSpaceDN w:val="0"/>
        <w:adjustRightInd w:val="0"/>
        <w:ind w:left="720" w:hanging="720"/>
        <w:jc w:val="both"/>
        <w:rPr>
          <w:lang w:val="en-US"/>
        </w:rPr>
      </w:pPr>
      <w:r w:rsidRPr="00974B32">
        <w:rPr>
          <w:lang w:val="en-US"/>
        </w:rPr>
        <w:t>Ketende,</w:t>
      </w:r>
      <w:r w:rsidR="00EA4399">
        <w:rPr>
          <w:lang w:val="en-US"/>
        </w:rPr>
        <w:t xml:space="preserve"> </w:t>
      </w:r>
      <w:r w:rsidRPr="00974B32">
        <w:rPr>
          <w:lang w:val="en-US"/>
        </w:rPr>
        <w:t>S. and J. MacDonald (2008) Housing, Neighbo</w:t>
      </w:r>
      <w:r w:rsidR="00974B32">
        <w:rPr>
          <w:lang w:val="en-US"/>
        </w:rPr>
        <w:t>urhood and Residential Mobility,</w:t>
      </w:r>
      <w:r w:rsidRPr="00974B32">
        <w:rPr>
          <w:lang w:val="en-US"/>
        </w:rPr>
        <w:t xml:space="preserve"> in</w:t>
      </w:r>
      <w:r w:rsidR="00974B32">
        <w:rPr>
          <w:lang w:val="en-US"/>
        </w:rPr>
        <w:t xml:space="preserve"> </w:t>
      </w:r>
      <w:r w:rsidRPr="00974B32">
        <w:rPr>
          <w:lang w:val="en-US"/>
        </w:rPr>
        <w:t>K. Hansen and H. Joshi (</w:t>
      </w:r>
      <w:r w:rsidR="00C50B7C">
        <w:rPr>
          <w:lang w:val="en-US"/>
        </w:rPr>
        <w:t>e</w:t>
      </w:r>
      <w:r w:rsidRPr="00974B32">
        <w:rPr>
          <w:lang w:val="en-US"/>
        </w:rPr>
        <w:t>ds</w:t>
      </w:r>
      <w:r w:rsidR="00C50B7C">
        <w:rPr>
          <w:lang w:val="en-US"/>
        </w:rPr>
        <w:t>.</w:t>
      </w:r>
      <w:r w:rsidRPr="00974B32">
        <w:rPr>
          <w:lang w:val="en-US"/>
        </w:rPr>
        <w:t xml:space="preserve">) </w:t>
      </w:r>
      <w:r w:rsidRPr="00974B32">
        <w:rPr>
          <w:u w:val="single"/>
          <w:lang w:val="en-US"/>
        </w:rPr>
        <w:t>Millennium Cohort Study Third Survey: A User’s Guide to Initial Findings</w:t>
      </w:r>
      <w:r w:rsidRPr="00974B32">
        <w:rPr>
          <w:lang w:val="en-US"/>
        </w:rPr>
        <w:t>.</w:t>
      </w:r>
    </w:p>
    <w:p w:rsidR="00C219A6" w:rsidRPr="00974B32" w:rsidRDefault="00C219A6" w:rsidP="00974B32">
      <w:pPr>
        <w:autoSpaceDE w:val="0"/>
        <w:autoSpaceDN w:val="0"/>
        <w:adjustRightInd w:val="0"/>
        <w:ind w:left="720" w:hanging="720"/>
        <w:jc w:val="both"/>
        <w:rPr>
          <w:lang w:val="en-US"/>
        </w:rPr>
      </w:pPr>
    </w:p>
    <w:p w:rsidR="00AA7D05" w:rsidRDefault="00484078" w:rsidP="00AA7D05">
      <w:pPr>
        <w:ind w:left="720" w:hanging="720"/>
        <w:jc w:val="both"/>
      </w:pPr>
      <w:r w:rsidRPr="00974B32">
        <w:rPr>
          <w:color w:val="000000"/>
        </w:rPr>
        <w:t xml:space="preserve">Leckie, G. and H. Goldstein (2009) The Limitations of Using School League Tables to Inform School Choice, </w:t>
      </w:r>
      <w:r w:rsidR="00AA7D05">
        <w:rPr>
          <w:rStyle w:val="Emphasis"/>
        </w:rPr>
        <w:t>Journal of the Royal Statistical Society: Series A</w:t>
      </w:r>
      <w:r w:rsidR="00AA7D05">
        <w:t xml:space="preserve">, 172(4), 835-851. </w:t>
      </w:r>
    </w:p>
    <w:p w:rsidR="00484078" w:rsidRDefault="00484078" w:rsidP="00974B32">
      <w:pPr>
        <w:ind w:left="720" w:hanging="720"/>
        <w:jc w:val="both"/>
        <w:rPr>
          <w:color w:val="000000"/>
        </w:rPr>
      </w:pPr>
    </w:p>
    <w:p w:rsidR="0093045F" w:rsidRDefault="00FB425E" w:rsidP="0093045F">
      <w:pPr>
        <w:ind w:left="720" w:hanging="720"/>
        <w:jc w:val="both"/>
      </w:pPr>
      <w:r>
        <w:t>Mortimore, P. (1991) The Nature and Findings of School Effectiveness Research in the Primary S</w:t>
      </w:r>
      <w:r w:rsidR="0093045F">
        <w:t>ect</w:t>
      </w:r>
      <w:r>
        <w:t>or, S. Riddell, and S. Brown</w:t>
      </w:r>
      <w:r w:rsidR="0093045F">
        <w:t xml:space="preserve"> (eds.) </w:t>
      </w:r>
      <w:r w:rsidR="0093045F">
        <w:rPr>
          <w:bCs/>
          <w:iCs/>
          <w:u w:val="single"/>
        </w:rPr>
        <w:t>School Effectiveness  Research: Its Messages for School Improvement</w:t>
      </w:r>
      <w:r w:rsidR="0093045F">
        <w:t>, London: HMSO.</w:t>
      </w:r>
    </w:p>
    <w:p w:rsidR="0093045F" w:rsidRPr="00974B32" w:rsidRDefault="0093045F" w:rsidP="00974B32">
      <w:pPr>
        <w:ind w:left="720" w:hanging="720"/>
        <w:jc w:val="both"/>
        <w:rPr>
          <w:color w:val="000000"/>
        </w:rPr>
      </w:pPr>
    </w:p>
    <w:p w:rsidR="00DC76AC" w:rsidRPr="00974B32" w:rsidRDefault="00A229C3" w:rsidP="00974B32">
      <w:pPr>
        <w:ind w:left="720" w:hanging="720"/>
        <w:jc w:val="both"/>
      </w:pPr>
      <w:r w:rsidRPr="00974B32">
        <w:t xml:space="preserve">Rosen, S. (1974) Hedonic Prices and Implicit Markets: Product Differentiation in Pure Competition, </w:t>
      </w:r>
      <w:r w:rsidRPr="00974B32">
        <w:rPr>
          <w:u w:val="single"/>
        </w:rPr>
        <w:t>The Journal of Political Economy</w:t>
      </w:r>
      <w:r w:rsidRPr="00974B32">
        <w:t>, 82 34-55.</w:t>
      </w:r>
    </w:p>
    <w:p w:rsidR="00A229C3" w:rsidRPr="00974B32" w:rsidRDefault="00A229C3" w:rsidP="00974B32">
      <w:pPr>
        <w:ind w:left="720" w:hanging="720"/>
        <w:jc w:val="both"/>
        <w:rPr>
          <w:u w:val="single"/>
        </w:rPr>
      </w:pPr>
    </w:p>
    <w:p w:rsidR="00747BED" w:rsidRPr="00974B32" w:rsidRDefault="00DC76AC" w:rsidP="00974B32">
      <w:pPr>
        <w:ind w:left="720" w:hanging="720"/>
        <w:jc w:val="both"/>
      </w:pPr>
      <w:r w:rsidRPr="00974B32">
        <w:lastRenderedPageBreak/>
        <w:t xml:space="preserve">Sheppard, S. (1999) Hedonic Analysis of Housing Markets, in P. Cheshire and E. Mills (Eds.), </w:t>
      </w:r>
      <w:r w:rsidRPr="00974B32">
        <w:rPr>
          <w:iCs/>
          <w:u w:val="single"/>
        </w:rPr>
        <w:t>Handbook of Regional and Urban Economics, Volume 3: Applied Urban Economics</w:t>
      </w:r>
      <w:r w:rsidRPr="00974B32">
        <w:t>, Amsterdam, North Holland, 1595-1635.</w:t>
      </w:r>
    </w:p>
    <w:p w:rsidR="0093045F" w:rsidRDefault="0093045F" w:rsidP="0093045F">
      <w:pPr>
        <w:ind w:left="720" w:hanging="720"/>
        <w:jc w:val="both"/>
      </w:pPr>
    </w:p>
    <w:p w:rsidR="0093045F" w:rsidRDefault="0093045F" w:rsidP="0093045F">
      <w:pPr>
        <w:ind w:left="720" w:hanging="720"/>
        <w:jc w:val="both"/>
      </w:pPr>
      <w:r>
        <w:t xml:space="preserve">Teddlie, C. and D. Reynolds (1999) </w:t>
      </w:r>
      <w:r>
        <w:rPr>
          <w:bCs/>
          <w:iCs/>
          <w:u w:val="single"/>
        </w:rPr>
        <w:t>The International Handbook of School Effectiveness Research</w:t>
      </w:r>
      <w:r>
        <w:t xml:space="preserve">, </w:t>
      </w:r>
      <w:smartTag w:uri="urn:schemas-microsoft-com:office:smarttags" w:element="City">
        <w:smartTag w:uri="urn:schemas-microsoft-com:office:smarttags" w:element="place">
          <w:r>
            <w:t>London</w:t>
          </w:r>
        </w:smartTag>
      </w:smartTag>
      <w:r>
        <w:t>: RoutledgeFalmer.</w:t>
      </w:r>
    </w:p>
    <w:p w:rsidR="00484078" w:rsidRDefault="00484078" w:rsidP="00974B32">
      <w:pPr>
        <w:ind w:left="720" w:hanging="720"/>
        <w:jc w:val="both"/>
      </w:pPr>
    </w:p>
    <w:p w:rsidR="00484078" w:rsidRPr="00974B32" w:rsidRDefault="00484078" w:rsidP="00974B32">
      <w:pPr>
        <w:ind w:left="720" w:hanging="720"/>
        <w:jc w:val="both"/>
        <w:rPr>
          <w:lang w:val="en-US"/>
        </w:rPr>
      </w:pPr>
      <w:r w:rsidRPr="00974B32">
        <w:rPr>
          <w:lang w:val="en-US"/>
        </w:rPr>
        <w:t xml:space="preserve">Todd, P. and K. Wolpin (2003) On the Specification and Estimation of the Production Function for Cognitive Achievement, </w:t>
      </w:r>
      <w:r w:rsidRPr="00974B32">
        <w:rPr>
          <w:u w:val="single"/>
          <w:lang w:val="en-US"/>
        </w:rPr>
        <w:t>Economic Journal</w:t>
      </w:r>
      <w:r w:rsidRPr="00974B32">
        <w:rPr>
          <w:lang w:val="en-US"/>
        </w:rPr>
        <w:t>, 113, F3-F33.</w:t>
      </w:r>
    </w:p>
    <w:p w:rsidR="00DC76AC" w:rsidRDefault="00DC76AC" w:rsidP="00747BED">
      <w:pPr>
        <w:spacing w:line="480" w:lineRule="auto"/>
        <w:jc w:val="both"/>
        <w:rPr>
          <w:u w:val="single"/>
        </w:rPr>
      </w:pPr>
    </w:p>
    <w:p w:rsidR="00106DD8" w:rsidRDefault="00206351" w:rsidP="00A05F86">
      <w:pPr>
        <w:ind w:firstLine="720"/>
        <w:jc w:val="center"/>
        <w:rPr>
          <w:u w:val="single"/>
        </w:rPr>
      </w:pPr>
      <w:r>
        <w:rPr>
          <w:u w:val="single"/>
        </w:rPr>
        <w:br w:type="page"/>
      </w:r>
    </w:p>
    <w:p w:rsidR="00A05F86" w:rsidRDefault="00206351" w:rsidP="00A05F86">
      <w:pPr>
        <w:ind w:firstLine="720"/>
        <w:jc w:val="center"/>
        <w:rPr>
          <w:b/>
          <w:lang w:val="en-US"/>
        </w:rPr>
      </w:pPr>
      <w:r w:rsidRPr="00206351">
        <w:rPr>
          <w:b/>
          <w:lang w:val="en-US"/>
        </w:rPr>
        <w:t xml:space="preserve">Figure 1. Moving House </w:t>
      </w:r>
      <w:r w:rsidR="00C50B7C" w:rsidRPr="00206351">
        <w:rPr>
          <w:b/>
          <w:lang w:val="en-US"/>
        </w:rPr>
        <w:t>at</w:t>
      </w:r>
      <w:r w:rsidRPr="00206351">
        <w:rPr>
          <w:b/>
          <w:lang w:val="en-US"/>
        </w:rPr>
        <w:t xml:space="preserve"> Different Stages of </w:t>
      </w:r>
      <w:r w:rsidR="00106DD8">
        <w:rPr>
          <w:b/>
          <w:lang w:val="en-US"/>
        </w:rPr>
        <w:t xml:space="preserve">the </w:t>
      </w:r>
      <w:r w:rsidRPr="00206351">
        <w:rPr>
          <w:b/>
          <w:lang w:val="en-US"/>
        </w:rPr>
        <w:t xml:space="preserve">Life Cycle, </w:t>
      </w:r>
    </w:p>
    <w:p w:rsidR="00206351" w:rsidRPr="00206351" w:rsidRDefault="00206351" w:rsidP="00A05F86">
      <w:pPr>
        <w:ind w:firstLine="720"/>
        <w:jc w:val="center"/>
        <w:rPr>
          <w:b/>
        </w:rPr>
      </w:pPr>
      <w:r w:rsidRPr="00206351">
        <w:rPr>
          <w:b/>
          <w:lang w:val="en-US"/>
        </w:rPr>
        <w:t>B</w:t>
      </w:r>
      <w:r w:rsidR="00106DD8">
        <w:rPr>
          <w:b/>
          <w:lang w:val="en-US"/>
        </w:rPr>
        <w:t xml:space="preserve">ritish </w:t>
      </w:r>
      <w:r w:rsidRPr="00206351">
        <w:rPr>
          <w:b/>
          <w:lang w:val="en-US"/>
        </w:rPr>
        <w:t>H</w:t>
      </w:r>
      <w:r w:rsidR="00106DD8">
        <w:rPr>
          <w:b/>
          <w:lang w:val="en-US"/>
        </w:rPr>
        <w:t xml:space="preserve">ousehold </w:t>
      </w:r>
      <w:r w:rsidRPr="00206351">
        <w:rPr>
          <w:b/>
          <w:lang w:val="en-US"/>
        </w:rPr>
        <w:t>P</w:t>
      </w:r>
      <w:r w:rsidR="00106DD8">
        <w:rPr>
          <w:b/>
          <w:lang w:val="en-US"/>
        </w:rPr>
        <w:t xml:space="preserve">anel </w:t>
      </w:r>
      <w:r w:rsidRPr="00206351">
        <w:rPr>
          <w:b/>
          <w:lang w:val="en-US"/>
        </w:rPr>
        <w:t>S</w:t>
      </w:r>
      <w:r w:rsidR="00106DD8">
        <w:rPr>
          <w:b/>
          <w:lang w:val="en-US"/>
        </w:rPr>
        <w:t>urvey</w:t>
      </w:r>
      <w:r w:rsidRPr="00206351">
        <w:rPr>
          <w:b/>
          <w:lang w:val="en-US"/>
        </w:rPr>
        <w:t xml:space="preserve"> (</w:t>
      </w:r>
      <w:r w:rsidR="00106DD8">
        <w:rPr>
          <w:b/>
          <w:lang w:val="en-US"/>
        </w:rPr>
        <w:t xml:space="preserve">from </w:t>
      </w:r>
      <w:r w:rsidRPr="00206351">
        <w:rPr>
          <w:b/>
          <w:lang w:val="en-US"/>
        </w:rPr>
        <w:t>Buck, 2000)</w:t>
      </w:r>
    </w:p>
    <w:p w:rsidR="00206351" w:rsidRDefault="00206351">
      <w:pPr>
        <w:rPr>
          <w:lang w:val="en-US"/>
        </w:rPr>
      </w:pPr>
    </w:p>
    <w:p w:rsidR="00206351" w:rsidRDefault="007B04C7" w:rsidP="00206351">
      <w:pPr>
        <w:rPr>
          <w:lang w:val="en-US"/>
        </w:rPr>
      </w:pPr>
      <w:r>
        <w:rPr>
          <w:noProof/>
          <w:lang w:eastAsia="en-GB"/>
        </w:rPr>
        <w:drawing>
          <wp:inline distT="0" distB="0" distL="0" distR="0">
            <wp:extent cx="5943600" cy="31718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3600" cy="3171825"/>
                    </a:xfrm>
                    <a:prstGeom prst="rect">
                      <a:avLst/>
                    </a:prstGeom>
                    <a:noFill/>
                    <a:ln w="9525">
                      <a:noFill/>
                      <a:miter lim="800000"/>
                      <a:headEnd/>
                      <a:tailEnd/>
                    </a:ln>
                  </pic:spPr>
                </pic:pic>
              </a:graphicData>
            </a:graphic>
          </wp:inline>
        </w:drawing>
      </w:r>
      <w:r w:rsidR="00206351">
        <w:rPr>
          <w:lang w:val="en-US"/>
        </w:rPr>
        <w:br w:type="page"/>
      </w:r>
    </w:p>
    <w:p w:rsidR="00206351" w:rsidRPr="000E149A" w:rsidRDefault="00206351" w:rsidP="00206351">
      <w:pPr>
        <w:jc w:val="center"/>
        <w:rPr>
          <w:b/>
          <w:lang w:val="en-US"/>
        </w:rPr>
      </w:pPr>
      <w:r w:rsidRPr="000E149A">
        <w:rPr>
          <w:b/>
          <w:lang w:val="en-US"/>
        </w:rPr>
        <w:t>Table 1. Proportions in Millennium Cohort Study Moving House,</w:t>
      </w:r>
    </w:p>
    <w:p w:rsidR="00206351" w:rsidRPr="000E149A" w:rsidRDefault="00A1783A" w:rsidP="00206351">
      <w:pPr>
        <w:jc w:val="center"/>
        <w:rPr>
          <w:b/>
          <w:lang w:val="en-US"/>
        </w:rPr>
      </w:pPr>
      <w:r>
        <w:rPr>
          <w:b/>
          <w:lang w:val="en-US"/>
        </w:rPr>
        <w:t>Sweep</w:t>
      </w:r>
      <w:r w:rsidR="00206351" w:rsidRPr="000E149A">
        <w:rPr>
          <w:b/>
          <w:lang w:val="en-US"/>
        </w:rPr>
        <w:t>s 1-2, 2-3</w:t>
      </w:r>
    </w:p>
    <w:p w:rsidR="00206351" w:rsidRPr="000E149A" w:rsidRDefault="00206351" w:rsidP="00206351">
      <w:pPr>
        <w:jc w:val="center"/>
        <w:rPr>
          <w:b/>
          <w:lang w:val="en-US"/>
        </w:rPr>
      </w:pPr>
    </w:p>
    <w:p w:rsidR="00206351" w:rsidRPr="000E149A" w:rsidRDefault="00206351" w:rsidP="00206351"/>
    <w:tbl>
      <w:tblPr>
        <w:tblW w:w="8510" w:type="dxa"/>
        <w:jc w:val="center"/>
        <w:tblInd w:w="-144" w:type="dxa"/>
        <w:tblBorders>
          <w:insideV w:val="single" w:sz="8" w:space="0" w:color="000000"/>
        </w:tblBorders>
        <w:tblCellMar>
          <w:left w:w="0" w:type="dxa"/>
          <w:right w:w="0" w:type="dxa"/>
        </w:tblCellMar>
        <w:tblLook w:val="04A0"/>
      </w:tblPr>
      <w:tblGrid>
        <w:gridCol w:w="2696"/>
        <w:gridCol w:w="2696"/>
        <w:gridCol w:w="3118"/>
      </w:tblGrid>
      <w:tr w:rsidR="00CE4D17" w:rsidRPr="000E149A">
        <w:trPr>
          <w:trHeight w:val="758"/>
          <w:jc w:val="center"/>
        </w:trPr>
        <w:tc>
          <w:tcPr>
            <w:tcW w:w="2696" w:type="dxa"/>
            <w:tcBorders>
              <w:top w:val="single" w:sz="8" w:space="0" w:color="000000"/>
              <w:bottom w:val="single" w:sz="8" w:space="0" w:color="000000"/>
              <w:right w:val="nil"/>
            </w:tcBorders>
          </w:tcPr>
          <w:p w:rsidR="00CE4D17" w:rsidRPr="000E149A" w:rsidRDefault="00CE4D17" w:rsidP="00206351">
            <w:pPr>
              <w:jc w:val="center"/>
              <w:rPr>
                <w:sz w:val="20"/>
                <w:szCs w:val="20"/>
              </w:rPr>
            </w:pPr>
          </w:p>
        </w:tc>
        <w:tc>
          <w:tcPr>
            <w:tcW w:w="5814" w:type="dxa"/>
            <w:gridSpan w:val="2"/>
            <w:tcBorders>
              <w:top w:val="single" w:sz="8" w:space="0" w:color="000000"/>
              <w:left w:val="nil"/>
              <w:bottom w:val="single" w:sz="8" w:space="0" w:color="000000"/>
            </w:tcBorders>
            <w:shd w:val="clear" w:color="auto" w:fill="auto"/>
            <w:tcMar>
              <w:top w:w="72" w:type="dxa"/>
              <w:left w:w="144" w:type="dxa"/>
              <w:bottom w:w="72" w:type="dxa"/>
              <w:right w:w="144" w:type="dxa"/>
            </w:tcMar>
            <w:vAlign w:val="center"/>
          </w:tcPr>
          <w:p w:rsidR="00CE4D17" w:rsidRPr="000E149A" w:rsidRDefault="00CE4D17" w:rsidP="00206351">
            <w:pPr>
              <w:jc w:val="center"/>
              <w:rPr>
                <w:sz w:val="20"/>
                <w:szCs w:val="20"/>
              </w:rPr>
            </w:pPr>
            <w:r w:rsidRPr="000E149A">
              <w:rPr>
                <w:sz w:val="20"/>
                <w:szCs w:val="20"/>
              </w:rPr>
              <w:t>All Cohort Members</w:t>
            </w:r>
          </w:p>
        </w:tc>
      </w:tr>
      <w:tr w:rsidR="00CE4D17" w:rsidRPr="000E149A">
        <w:trPr>
          <w:trHeight w:val="758"/>
          <w:jc w:val="center"/>
        </w:trPr>
        <w:tc>
          <w:tcPr>
            <w:tcW w:w="2696" w:type="dxa"/>
            <w:tcBorders>
              <w:top w:val="single" w:sz="8" w:space="0" w:color="000000"/>
              <w:bottom w:val="single" w:sz="8" w:space="0" w:color="000000"/>
              <w:right w:val="nil"/>
            </w:tcBorders>
          </w:tcPr>
          <w:p w:rsidR="00CE4D17" w:rsidRPr="000E149A" w:rsidRDefault="00CE4D17" w:rsidP="00206351">
            <w:pPr>
              <w:jc w:val="center"/>
              <w:rPr>
                <w:sz w:val="20"/>
                <w:szCs w:val="20"/>
              </w:rPr>
            </w:pPr>
          </w:p>
        </w:tc>
        <w:tc>
          <w:tcPr>
            <w:tcW w:w="269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CE4D17" w:rsidRPr="000E149A" w:rsidRDefault="00A1783A" w:rsidP="00206351">
            <w:pPr>
              <w:jc w:val="center"/>
              <w:rPr>
                <w:sz w:val="20"/>
                <w:szCs w:val="20"/>
              </w:rPr>
            </w:pPr>
            <w:r>
              <w:rPr>
                <w:sz w:val="20"/>
                <w:szCs w:val="20"/>
              </w:rPr>
              <w:t>Sweep</w:t>
            </w:r>
            <w:r w:rsidR="00CE4D17" w:rsidRPr="000E149A">
              <w:rPr>
                <w:sz w:val="20"/>
                <w:szCs w:val="20"/>
              </w:rPr>
              <w:t>s 1-2 (2000-2003)</w:t>
            </w:r>
          </w:p>
        </w:tc>
        <w:tc>
          <w:tcPr>
            <w:tcW w:w="3118" w:type="dxa"/>
            <w:tcBorders>
              <w:top w:val="single" w:sz="8" w:space="0" w:color="000000"/>
              <w:left w:val="nil"/>
              <w:bottom w:val="single" w:sz="8" w:space="0" w:color="000000"/>
            </w:tcBorders>
            <w:shd w:val="clear" w:color="auto" w:fill="auto"/>
            <w:tcMar>
              <w:top w:w="72" w:type="dxa"/>
              <w:left w:w="144" w:type="dxa"/>
              <w:bottom w:w="72" w:type="dxa"/>
              <w:right w:w="144" w:type="dxa"/>
            </w:tcMar>
            <w:vAlign w:val="center"/>
          </w:tcPr>
          <w:p w:rsidR="00CE4D17" w:rsidRPr="000E149A" w:rsidRDefault="00A1783A" w:rsidP="00206351">
            <w:pPr>
              <w:jc w:val="center"/>
              <w:rPr>
                <w:sz w:val="20"/>
                <w:szCs w:val="20"/>
              </w:rPr>
            </w:pPr>
            <w:r>
              <w:rPr>
                <w:sz w:val="20"/>
                <w:szCs w:val="20"/>
              </w:rPr>
              <w:t>Sweep</w:t>
            </w:r>
            <w:r w:rsidR="00CE4D17" w:rsidRPr="000E149A">
              <w:rPr>
                <w:sz w:val="20"/>
                <w:szCs w:val="20"/>
              </w:rPr>
              <w:t>s 2-3 (2003-2005)</w:t>
            </w:r>
          </w:p>
        </w:tc>
      </w:tr>
      <w:tr w:rsidR="00CE4D17" w:rsidRPr="000E149A">
        <w:trPr>
          <w:trHeight w:val="537"/>
          <w:jc w:val="center"/>
        </w:trPr>
        <w:tc>
          <w:tcPr>
            <w:tcW w:w="2696" w:type="dxa"/>
            <w:tcBorders>
              <w:top w:val="single" w:sz="8" w:space="0" w:color="000000"/>
              <w:bottom w:val="nil"/>
              <w:right w:val="nil"/>
            </w:tcBorders>
            <w:vAlign w:val="center"/>
          </w:tcPr>
          <w:p w:rsidR="00CE4D17" w:rsidRPr="000E149A" w:rsidRDefault="00CE4D17" w:rsidP="00CE4D17">
            <w:pPr>
              <w:rPr>
                <w:sz w:val="20"/>
                <w:szCs w:val="20"/>
              </w:rPr>
            </w:pPr>
            <w:r>
              <w:rPr>
                <w:sz w:val="20"/>
                <w:szCs w:val="20"/>
              </w:rPr>
              <w:t>Proportion moving house</w:t>
            </w:r>
          </w:p>
        </w:tc>
        <w:tc>
          <w:tcPr>
            <w:tcW w:w="2696"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CE4D17" w:rsidRPr="000E149A" w:rsidRDefault="00CE4D17" w:rsidP="00206351">
            <w:pPr>
              <w:jc w:val="center"/>
              <w:rPr>
                <w:sz w:val="20"/>
                <w:szCs w:val="20"/>
              </w:rPr>
            </w:pPr>
            <w:r w:rsidRPr="000E149A">
              <w:rPr>
                <w:sz w:val="20"/>
                <w:szCs w:val="20"/>
              </w:rPr>
              <w:t>.30</w:t>
            </w:r>
          </w:p>
        </w:tc>
        <w:tc>
          <w:tcPr>
            <w:tcW w:w="3118" w:type="dxa"/>
            <w:tcBorders>
              <w:top w:val="single" w:sz="8" w:space="0" w:color="000000"/>
              <w:left w:val="nil"/>
              <w:bottom w:val="nil"/>
            </w:tcBorders>
            <w:shd w:val="clear" w:color="auto" w:fill="auto"/>
            <w:tcMar>
              <w:top w:w="72" w:type="dxa"/>
              <w:left w:w="144" w:type="dxa"/>
              <w:bottom w:w="72" w:type="dxa"/>
              <w:right w:w="144" w:type="dxa"/>
            </w:tcMar>
            <w:vAlign w:val="center"/>
          </w:tcPr>
          <w:p w:rsidR="00CE4D17" w:rsidRPr="000E149A" w:rsidRDefault="00CE4D17" w:rsidP="00206351">
            <w:pPr>
              <w:jc w:val="center"/>
              <w:rPr>
                <w:sz w:val="20"/>
                <w:szCs w:val="20"/>
              </w:rPr>
            </w:pPr>
            <w:r w:rsidRPr="000E149A">
              <w:rPr>
                <w:sz w:val="20"/>
                <w:szCs w:val="20"/>
              </w:rPr>
              <w:t>.16</w:t>
            </w:r>
          </w:p>
        </w:tc>
      </w:tr>
      <w:tr w:rsidR="00CE4D17" w:rsidRPr="000E149A">
        <w:trPr>
          <w:trHeight w:val="537"/>
          <w:jc w:val="center"/>
        </w:trPr>
        <w:tc>
          <w:tcPr>
            <w:tcW w:w="2696" w:type="dxa"/>
            <w:tcBorders>
              <w:top w:val="nil"/>
              <w:right w:val="nil"/>
            </w:tcBorders>
            <w:vAlign w:val="center"/>
          </w:tcPr>
          <w:p w:rsidR="00CE4D17" w:rsidRDefault="00CE4D17" w:rsidP="00CE4D17">
            <w:pPr>
              <w:rPr>
                <w:sz w:val="20"/>
                <w:szCs w:val="20"/>
              </w:rPr>
            </w:pPr>
            <w:r>
              <w:rPr>
                <w:sz w:val="20"/>
                <w:szCs w:val="20"/>
              </w:rPr>
              <w:t>Annualised proportion</w:t>
            </w:r>
          </w:p>
        </w:tc>
        <w:tc>
          <w:tcPr>
            <w:tcW w:w="2696" w:type="dxa"/>
            <w:tcBorders>
              <w:top w:val="nil"/>
              <w:left w:val="nil"/>
              <w:right w:val="nil"/>
            </w:tcBorders>
            <w:shd w:val="clear" w:color="auto" w:fill="auto"/>
            <w:tcMar>
              <w:top w:w="72" w:type="dxa"/>
              <w:left w:w="144" w:type="dxa"/>
              <w:bottom w:w="72" w:type="dxa"/>
              <w:right w:w="144" w:type="dxa"/>
            </w:tcMar>
            <w:vAlign w:val="center"/>
          </w:tcPr>
          <w:p w:rsidR="00CE4D17" w:rsidRPr="000E149A" w:rsidRDefault="00CE4D17" w:rsidP="00206351">
            <w:pPr>
              <w:jc w:val="center"/>
              <w:rPr>
                <w:sz w:val="20"/>
                <w:szCs w:val="20"/>
              </w:rPr>
            </w:pPr>
            <w:r>
              <w:rPr>
                <w:sz w:val="20"/>
                <w:szCs w:val="20"/>
              </w:rPr>
              <w:t>.13</w:t>
            </w:r>
          </w:p>
        </w:tc>
        <w:tc>
          <w:tcPr>
            <w:tcW w:w="3118" w:type="dxa"/>
            <w:tcBorders>
              <w:top w:val="nil"/>
              <w:left w:val="nil"/>
            </w:tcBorders>
            <w:shd w:val="clear" w:color="auto" w:fill="auto"/>
            <w:tcMar>
              <w:top w:w="72" w:type="dxa"/>
              <w:left w:w="144" w:type="dxa"/>
              <w:bottom w:w="72" w:type="dxa"/>
              <w:right w:w="144" w:type="dxa"/>
            </w:tcMar>
            <w:vAlign w:val="center"/>
          </w:tcPr>
          <w:p w:rsidR="00CE4D17" w:rsidRPr="000E149A" w:rsidRDefault="00CE4D17" w:rsidP="00206351">
            <w:pPr>
              <w:jc w:val="center"/>
              <w:rPr>
                <w:sz w:val="20"/>
                <w:szCs w:val="20"/>
              </w:rPr>
            </w:pPr>
            <w:r>
              <w:rPr>
                <w:sz w:val="20"/>
                <w:szCs w:val="20"/>
              </w:rPr>
              <w:t>.08</w:t>
            </w:r>
          </w:p>
        </w:tc>
      </w:tr>
      <w:tr w:rsidR="00CE4D17" w:rsidRPr="000E149A">
        <w:trPr>
          <w:trHeight w:val="577"/>
          <w:jc w:val="center"/>
        </w:trPr>
        <w:tc>
          <w:tcPr>
            <w:tcW w:w="2696" w:type="dxa"/>
            <w:tcBorders>
              <w:bottom w:val="single" w:sz="8" w:space="0" w:color="000000"/>
              <w:right w:val="nil"/>
            </w:tcBorders>
            <w:vAlign w:val="center"/>
          </w:tcPr>
          <w:p w:rsidR="00CE4D17" w:rsidRPr="000E149A" w:rsidRDefault="00CE4D17" w:rsidP="00CE4D17">
            <w:pPr>
              <w:rPr>
                <w:sz w:val="20"/>
                <w:szCs w:val="20"/>
              </w:rPr>
            </w:pPr>
            <w:r>
              <w:rPr>
                <w:sz w:val="20"/>
                <w:szCs w:val="20"/>
              </w:rPr>
              <w:t>Number of households</w:t>
            </w:r>
          </w:p>
        </w:tc>
        <w:tc>
          <w:tcPr>
            <w:tcW w:w="2696" w:type="dxa"/>
            <w:tcBorders>
              <w:left w:val="nil"/>
              <w:bottom w:val="single" w:sz="8" w:space="0" w:color="000000"/>
              <w:right w:val="nil"/>
            </w:tcBorders>
            <w:shd w:val="clear" w:color="auto" w:fill="auto"/>
            <w:tcMar>
              <w:top w:w="72" w:type="dxa"/>
              <w:left w:w="144" w:type="dxa"/>
              <w:bottom w:w="72" w:type="dxa"/>
              <w:right w:w="144" w:type="dxa"/>
            </w:tcMar>
            <w:vAlign w:val="center"/>
          </w:tcPr>
          <w:p w:rsidR="00CE4D17" w:rsidRPr="000E149A" w:rsidRDefault="00CE4D17" w:rsidP="00206351">
            <w:pPr>
              <w:jc w:val="center"/>
              <w:rPr>
                <w:sz w:val="20"/>
                <w:szCs w:val="20"/>
              </w:rPr>
            </w:pPr>
            <w:r w:rsidRPr="000E149A">
              <w:rPr>
                <w:sz w:val="20"/>
                <w:szCs w:val="20"/>
              </w:rPr>
              <w:t>14841</w:t>
            </w:r>
          </w:p>
        </w:tc>
        <w:tc>
          <w:tcPr>
            <w:tcW w:w="3118" w:type="dxa"/>
            <w:tcBorders>
              <w:left w:val="nil"/>
              <w:bottom w:val="single" w:sz="8" w:space="0" w:color="000000"/>
            </w:tcBorders>
            <w:shd w:val="clear" w:color="auto" w:fill="auto"/>
            <w:tcMar>
              <w:top w:w="72" w:type="dxa"/>
              <w:left w:w="144" w:type="dxa"/>
              <w:bottom w:w="72" w:type="dxa"/>
              <w:right w:w="144" w:type="dxa"/>
            </w:tcMar>
            <w:vAlign w:val="center"/>
          </w:tcPr>
          <w:p w:rsidR="00CE4D17" w:rsidRPr="000E149A" w:rsidRDefault="00CE4D17" w:rsidP="00206351">
            <w:pPr>
              <w:jc w:val="center"/>
              <w:rPr>
                <w:sz w:val="20"/>
                <w:szCs w:val="20"/>
              </w:rPr>
            </w:pPr>
            <w:r w:rsidRPr="000E149A">
              <w:rPr>
                <w:sz w:val="20"/>
                <w:szCs w:val="20"/>
              </w:rPr>
              <w:t>15438</w:t>
            </w:r>
          </w:p>
        </w:tc>
      </w:tr>
      <w:tr w:rsidR="00CE4D17" w:rsidRPr="000E149A">
        <w:trPr>
          <w:trHeight w:val="829"/>
          <w:jc w:val="center"/>
        </w:trPr>
        <w:tc>
          <w:tcPr>
            <w:tcW w:w="2696" w:type="dxa"/>
            <w:tcBorders>
              <w:top w:val="single" w:sz="8" w:space="0" w:color="000000"/>
              <w:right w:val="nil"/>
            </w:tcBorders>
          </w:tcPr>
          <w:p w:rsidR="00CE4D17" w:rsidRPr="000E149A" w:rsidRDefault="00CE4D17" w:rsidP="00CE4D17">
            <w:pPr>
              <w:rPr>
                <w:sz w:val="20"/>
                <w:szCs w:val="20"/>
              </w:rPr>
            </w:pPr>
          </w:p>
        </w:tc>
        <w:tc>
          <w:tcPr>
            <w:tcW w:w="5814" w:type="dxa"/>
            <w:gridSpan w:val="2"/>
            <w:tcBorders>
              <w:top w:val="single" w:sz="8" w:space="0" w:color="000000"/>
              <w:left w:val="nil"/>
            </w:tcBorders>
            <w:shd w:val="clear" w:color="auto" w:fill="auto"/>
            <w:tcMar>
              <w:top w:w="72" w:type="dxa"/>
              <w:left w:w="144" w:type="dxa"/>
              <w:bottom w:w="72" w:type="dxa"/>
              <w:right w:w="144" w:type="dxa"/>
            </w:tcMar>
            <w:vAlign w:val="center"/>
          </w:tcPr>
          <w:p w:rsidR="00CE4D17" w:rsidRPr="000E149A" w:rsidRDefault="00CE4D17" w:rsidP="00206351">
            <w:pPr>
              <w:jc w:val="center"/>
              <w:rPr>
                <w:sz w:val="20"/>
                <w:szCs w:val="20"/>
              </w:rPr>
            </w:pPr>
            <w:r w:rsidRPr="000E149A">
              <w:rPr>
                <w:sz w:val="20"/>
                <w:szCs w:val="20"/>
              </w:rPr>
              <w:t>Cohort Member has no Older Siblings</w:t>
            </w:r>
          </w:p>
        </w:tc>
      </w:tr>
      <w:tr w:rsidR="00CE4D17" w:rsidRPr="000E149A">
        <w:trPr>
          <w:trHeight w:val="829"/>
          <w:jc w:val="center"/>
        </w:trPr>
        <w:tc>
          <w:tcPr>
            <w:tcW w:w="2696" w:type="dxa"/>
            <w:tcBorders>
              <w:top w:val="single" w:sz="8" w:space="0" w:color="000000"/>
              <w:right w:val="nil"/>
            </w:tcBorders>
          </w:tcPr>
          <w:p w:rsidR="00CE4D17" w:rsidRPr="000E149A" w:rsidRDefault="00CE4D17" w:rsidP="00CE4D17">
            <w:pPr>
              <w:rPr>
                <w:sz w:val="20"/>
                <w:szCs w:val="20"/>
              </w:rPr>
            </w:pPr>
          </w:p>
        </w:tc>
        <w:tc>
          <w:tcPr>
            <w:tcW w:w="2696" w:type="dxa"/>
            <w:tcBorders>
              <w:top w:val="single" w:sz="8" w:space="0" w:color="000000"/>
              <w:left w:val="nil"/>
              <w:right w:val="nil"/>
            </w:tcBorders>
            <w:shd w:val="clear" w:color="auto" w:fill="auto"/>
            <w:tcMar>
              <w:top w:w="72" w:type="dxa"/>
              <w:left w:w="144" w:type="dxa"/>
              <w:bottom w:w="72" w:type="dxa"/>
              <w:right w:w="144" w:type="dxa"/>
            </w:tcMar>
            <w:vAlign w:val="center"/>
          </w:tcPr>
          <w:p w:rsidR="00CE4D17" w:rsidRPr="000E149A" w:rsidRDefault="00A1783A" w:rsidP="00206351">
            <w:pPr>
              <w:jc w:val="center"/>
              <w:rPr>
                <w:sz w:val="20"/>
                <w:szCs w:val="20"/>
              </w:rPr>
            </w:pPr>
            <w:r>
              <w:rPr>
                <w:sz w:val="20"/>
                <w:szCs w:val="20"/>
              </w:rPr>
              <w:t>Sweep</w:t>
            </w:r>
            <w:r w:rsidR="00CE4D17" w:rsidRPr="000E149A">
              <w:rPr>
                <w:sz w:val="20"/>
                <w:szCs w:val="20"/>
              </w:rPr>
              <w:t>s 1-2</w:t>
            </w:r>
            <w:r w:rsidR="00CE4D17">
              <w:rPr>
                <w:sz w:val="20"/>
                <w:szCs w:val="20"/>
              </w:rPr>
              <w:t xml:space="preserve"> </w:t>
            </w:r>
            <w:r w:rsidR="00CE4D17" w:rsidRPr="000E149A">
              <w:rPr>
                <w:sz w:val="20"/>
                <w:szCs w:val="20"/>
              </w:rPr>
              <w:t>(2000-2003)</w:t>
            </w:r>
          </w:p>
        </w:tc>
        <w:tc>
          <w:tcPr>
            <w:tcW w:w="3118" w:type="dxa"/>
            <w:tcBorders>
              <w:top w:val="single" w:sz="8" w:space="0" w:color="000000"/>
              <w:left w:val="nil"/>
            </w:tcBorders>
            <w:shd w:val="clear" w:color="auto" w:fill="auto"/>
            <w:tcMar>
              <w:top w:w="72" w:type="dxa"/>
              <w:left w:w="144" w:type="dxa"/>
              <w:bottom w:w="72" w:type="dxa"/>
              <w:right w:w="144" w:type="dxa"/>
            </w:tcMar>
            <w:vAlign w:val="center"/>
          </w:tcPr>
          <w:p w:rsidR="00CE4D17" w:rsidRPr="000E149A" w:rsidRDefault="00A1783A" w:rsidP="00206351">
            <w:pPr>
              <w:jc w:val="center"/>
              <w:rPr>
                <w:sz w:val="20"/>
                <w:szCs w:val="20"/>
              </w:rPr>
            </w:pPr>
            <w:r>
              <w:rPr>
                <w:sz w:val="20"/>
                <w:szCs w:val="20"/>
              </w:rPr>
              <w:t>Sweep</w:t>
            </w:r>
            <w:r w:rsidR="00CE4D17" w:rsidRPr="000E149A">
              <w:rPr>
                <w:sz w:val="20"/>
                <w:szCs w:val="20"/>
              </w:rPr>
              <w:t>s 2-3</w:t>
            </w:r>
            <w:r w:rsidR="00CE4D17">
              <w:rPr>
                <w:sz w:val="20"/>
                <w:szCs w:val="20"/>
              </w:rPr>
              <w:t xml:space="preserve"> </w:t>
            </w:r>
            <w:r w:rsidR="00CE4D17" w:rsidRPr="000E149A">
              <w:rPr>
                <w:sz w:val="20"/>
                <w:szCs w:val="20"/>
              </w:rPr>
              <w:t>(2003-2005)</w:t>
            </w:r>
          </w:p>
        </w:tc>
      </w:tr>
      <w:tr w:rsidR="00CE4D17" w:rsidRPr="000E149A">
        <w:trPr>
          <w:trHeight w:val="562"/>
          <w:jc w:val="center"/>
        </w:trPr>
        <w:tc>
          <w:tcPr>
            <w:tcW w:w="2696" w:type="dxa"/>
            <w:tcBorders>
              <w:bottom w:val="nil"/>
              <w:right w:val="nil"/>
            </w:tcBorders>
            <w:vAlign w:val="center"/>
          </w:tcPr>
          <w:p w:rsidR="00CE4D17" w:rsidRPr="000E149A" w:rsidRDefault="00CE4D17" w:rsidP="0026783F">
            <w:pPr>
              <w:rPr>
                <w:sz w:val="20"/>
                <w:szCs w:val="20"/>
              </w:rPr>
            </w:pPr>
            <w:r>
              <w:rPr>
                <w:sz w:val="20"/>
                <w:szCs w:val="20"/>
              </w:rPr>
              <w:t>Proportion moving house</w:t>
            </w:r>
          </w:p>
        </w:tc>
        <w:tc>
          <w:tcPr>
            <w:tcW w:w="2696" w:type="dxa"/>
            <w:tcBorders>
              <w:left w:val="nil"/>
              <w:bottom w:val="nil"/>
              <w:right w:val="nil"/>
            </w:tcBorders>
            <w:shd w:val="clear" w:color="auto" w:fill="auto"/>
            <w:tcMar>
              <w:top w:w="72" w:type="dxa"/>
              <w:left w:w="144" w:type="dxa"/>
              <w:bottom w:w="72" w:type="dxa"/>
              <w:right w:w="144" w:type="dxa"/>
            </w:tcMar>
            <w:vAlign w:val="center"/>
          </w:tcPr>
          <w:p w:rsidR="00CE4D17" w:rsidRPr="000E149A" w:rsidRDefault="00CE4D17" w:rsidP="00206351">
            <w:pPr>
              <w:jc w:val="center"/>
              <w:rPr>
                <w:sz w:val="20"/>
                <w:szCs w:val="20"/>
              </w:rPr>
            </w:pPr>
            <w:r w:rsidRPr="000E149A">
              <w:rPr>
                <w:sz w:val="20"/>
                <w:szCs w:val="20"/>
              </w:rPr>
              <w:t>.38</w:t>
            </w:r>
          </w:p>
        </w:tc>
        <w:tc>
          <w:tcPr>
            <w:tcW w:w="3118" w:type="dxa"/>
            <w:tcBorders>
              <w:left w:val="nil"/>
              <w:bottom w:val="nil"/>
            </w:tcBorders>
            <w:shd w:val="clear" w:color="auto" w:fill="auto"/>
            <w:tcMar>
              <w:top w:w="72" w:type="dxa"/>
              <w:left w:w="144" w:type="dxa"/>
              <w:bottom w:w="72" w:type="dxa"/>
              <w:right w:w="144" w:type="dxa"/>
            </w:tcMar>
            <w:vAlign w:val="center"/>
          </w:tcPr>
          <w:p w:rsidR="00CE4D17" w:rsidRPr="000E149A" w:rsidRDefault="00CE4D17" w:rsidP="00206351">
            <w:pPr>
              <w:jc w:val="center"/>
              <w:rPr>
                <w:sz w:val="20"/>
                <w:szCs w:val="20"/>
              </w:rPr>
            </w:pPr>
            <w:r w:rsidRPr="000E149A">
              <w:rPr>
                <w:sz w:val="20"/>
                <w:szCs w:val="20"/>
              </w:rPr>
              <w:t>.19</w:t>
            </w:r>
          </w:p>
        </w:tc>
      </w:tr>
      <w:tr w:rsidR="00CE4D17" w:rsidRPr="000E149A">
        <w:trPr>
          <w:trHeight w:val="562"/>
          <w:jc w:val="center"/>
        </w:trPr>
        <w:tc>
          <w:tcPr>
            <w:tcW w:w="2696" w:type="dxa"/>
            <w:tcBorders>
              <w:bottom w:val="nil"/>
              <w:right w:val="nil"/>
            </w:tcBorders>
            <w:vAlign w:val="center"/>
          </w:tcPr>
          <w:p w:rsidR="00CE4D17" w:rsidRDefault="00CE4D17" w:rsidP="0026783F">
            <w:pPr>
              <w:rPr>
                <w:sz w:val="20"/>
                <w:szCs w:val="20"/>
              </w:rPr>
            </w:pPr>
            <w:r>
              <w:rPr>
                <w:sz w:val="20"/>
                <w:szCs w:val="20"/>
              </w:rPr>
              <w:t>Annualised proportion</w:t>
            </w:r>
          </w:p>
        </w:tc>
        <w:tc>
          <w:tcPr>
            <w:tcW w:w="2696" w:type="dxa"/>
            <w:tcBorders>
              <w:left w:val="nil"/>
              <w:bottom w:val="nil"/>
              <w:right w:val="nil"/>
            </w:tcBorders>
            <w:shd w:val="clear" w:color="auto" w:fill="auto"/>
            <w:tcMar>
              <w:top w:w="72" w:type="dxa"/>
              <w:left w:w="144" w:type="dxa"/>
              <w:bottom w:w="72" w:type="dxa"/>
              <w:right w:w="144" w:type="dxa"/>
            </w:tcMar>
            <w:vAlign w:val="center"/>
          </w:tcPr>
          <w:p w:rsidR="00CE4D17" w:rsidRPr="000E149A" w:rsidRDefault="00CE4D17" w:rsidP="00206351">
            <w:pPr>
              <w:jc w:val="center"/>
              <w:rPr>
                <w:sz w:val="20"/>
                <w:szCs w:val="20"/>
              </w:rPr>
            </w:pPr>
            <w:r>
              <w:rPr>
                <w:sz w:val="20"/>
                <w:szCs w:val="20"/>
              </w:rPr>
              <w:t>.17</w:t>
            </w:r>
          </w:p>
        </w:tc>
        <w:tc>
          <w:tcPr>
            <w:tcW w:w="3118" w:type="dxa"/>
            <w:tcBorders>
              <w:left w:val="nil"/>
              <w:bottom w:val="nil"/>
            </w:tcBorders>
            <w:shd w:val="clear" w:color="auto" w:fill="auto"/>
            <w:tcMar>
              <w:top w:w="72" w:type="dxa"/>
              <w:left w:w="144" w:type="dxa"/>
              <w:bottom w:w="72" w:type="dxa"/>
              <w:right w:w="144" w:type="dxa"/>
            </w:tcMar>
            <w:vAlign w:val="center"/>
          </w:tcPr>
          <w:p w:rsidR="00CE4D17" w:rsidRPr="000E149A" w:rsidRDefault="00CE4D17" w:rsidP="00206351">
            <w:pPr>
              <w:jc w:val="center"/>
              <w:rPr>
                <w:sz w:val="20"/>
                <w:szCs w:val="20"/>
              </w:rPr>
            </w:pPr>
            <w:r>
              <w:rPr>
                <w:sz w:val="20"/>
                <w:szCs w:val="20"/>
              </w:rPr>
              <w:t>.09</w:t>
            </w:r>
          </w:p>
        </w:tc>
      </w:tr>
      <w:tr w:rsidR="00CE4D17" w:rsidRPr="000E149A">
        <w:trPr>
          <w:trHeight w:val="675"/>
          <w:jc w:val="center"/>
        </w:trPr>
        <w:tc>
          <w:tcPr>
            <w:tcW w:w="2696" w:type="dxa"/>
            <w:tcBorders>
              <w:bottom w:val="single" w:sz="8" w:space="0" w:color="000000"/>
              <w:right w:val="nil"/>
            </w:tcBorders>
            <w:vAlign w:val="center"/>
          </w:tcPr>
          <w:p w:rsidR="00CE4D17" w:rsidRPr="000E149A" w:rsidRDefault="00CE4D17" w:rsidP="0026783F">
            <w:pPr>
              <w:rPr>
                <w:sz w:val="20"/>
                <w:szCs w:val="20"/>
              </w:rPr>
            </w:pPr>
            <w:r>
              <w:rPr>
                <w:sz w:val="20"/>
                <w:szCs w:val="20"/>
              </w:rPr>
              <w:t>Number of households</w:t>
            </w:r>
          </w:p>
        </w:tc>
        <w:tc>
          <w:tcPr>
            <w:tcW w:w="2696" w:type="dxa"/>
            <w:tcBorders>
              <w:left w:val="nil"/>
              <w:bottom w:val="single" w:sz="8" w:space="0" w:color="000000"/>
              <w:right w:val="nil"/>
            </w:tcBorders>
            <w:shd w:val="clear" w:color="auto" w:fill="auto"/>
            <w:tcMar>
              <w:top w:w="72" w:type="dxa"/>
              <w:left w:w="144" w:type="dxa"/>
              <w:bottom w:w="72" w:type="dxa"/>
              <w:right w:w="144" w:type="dxa"/>
            </w:tcMar>
            <w:vAlign w:val="center"/>
          </w:tcPr>
          <w:p w:rsidR="00CE4D17" w:rsidRPr="000E149A" w:rsidRDefault="00CE4D17" w:rsidP="00206351">
            <w:pPr>
              <w:jc w:val="center"/>
              <w:rPr>
                <w:sz w:val="20"/>
                <w:szCs w:val="20"/>
              </w:rPr>
            </w:pPr>
            <w:r w:rsidRPr="000E149A">
              <w:rPr>
                <w:sz w:val="20"/>
                <w:szCs w:val="20"/>
              </w:rPr>
              <w:t>6194</w:t>
            </w:r>
          </w:p>
        </w:tc>
        <w:tc>
          <w:tcPr>
            <w:tcW w:w="3118" w:type="dxa"/>
            <w:tcBorders>
              <w:left w:val="nil"/>
              <w:bottom w:val="single" w:sz="8" w:space="0" w:color="000000"/>
            </w:tcBorders>
            <w:shd w:val="clear" w:color="auto" w:fill="auto"/>
            <w:tcMar>
              <w:top w:w="72" w:type="dxa"/>
              <w:left w:w="144" w:type="dxa"/>
              <w:bottom w:w="72" w:type="dxa"/>
              <w:right w:w="144" w:type="dxa"/>
            </w:tcMar>
            <w:vAlign w:val="center"/>
          </w:tcPr>
          <w:p w:rsidR="00CE4D17" w:rsidRPr="000E149A" w:rsidRDefault="00CE4D17" w:rsidP="00206351">
            <w:pPr>
              <w:jc w:val="center"/>
              <w:rPr>
                <w:sz w:val="20"/>
                <w:szCs w:val="20"/>
              </w:rPr>
            </w:pPr>
            <w:r w:rsidRPr="000E149A">
              <w:rPr>
                <w:sz w:val="20"/>
                <w:szCs w:val="20"/>
              </w:rPr>
              <w:t>6253</w:t>
            </w:r>
          </w:p>
        </w:tc>
      </w:tr>
    </w:tbl>
    <w:p w:rsidR="00206351" w:rsidRPr="000E149A" w:rsidRDefault="00206351" w:rsidP="00206351"/>
    <w:p w:rsidR="00206351" w:rsidRPr="00CE4D17" w:rsidRDefault="00CE4D17" w:rsidP="00206351">
      <w:pPr>
        <w:rPr>
          <w:sz w:val="20"/>
        </w:rPr>
      </w:pPr>
      <w:r w:rsidRPr="00CE4D17">
        <w:rPr>
          <w:sz w:val="20"/>
        </w:rPr>
        <w:t xml:space="preserve">Notes:  Source – Millennium Cohort Study, </w:t>
      </w:r>
      <w:r w:rsidR="00A1783A">
        <w:rPr>
          <w:sz w:val="20"/>
        </w:rPr>
        <w:t>Sweep</w:t>
      </w:r>
      <w:r w:rsidRPr="00CE4D17">
        <w:rPr>
          <w:sz w:val="20"/>
        </w:rPr>
        <w:t>s 1-3.</w:t>
      </w:r>
    </w:p>
    <w:p w:rsidR="00206351" w:rsidRPr="00CE4D17" w:rsidRDefault="00206351" w:rsidP="00206351">
      <w:pPr>
        <w:rPr>
          <w:sz w:val="20"/>
        </w:rPr>
      </w:pPr>
      <w:r w:rsidRPr="00CE4D17">
        <w:rPr>
          <w:sz w:val="20"/>
        </w:rPr>
        <w:br w:type="page"/>
      </w:r>
    </w:p>
    <w:p w:rsidR="00206351" w:rsidRPr="000E149A" w:rsidRDefault="00206351" w:rsidP="00046500">
      <w:pPr>
        <w:jc w:val="center"/>
        <w:rPr>
          <w:b/>
          <w:lang w:val="en-US"/>
        </w:rPr>
      </w:pPr>
      <w:r w:rsidRPr="000E149A">
        <w:rPr>
          <w:b/>
          <w:lang w:val="en-US"/>
        </w:rPr>
        <w:t xml:space="preserve">Table 2. Reasons </w:t>
      </w:r>
      <w:r w:rsidR="000A0D22">
        <w:rPr>
          <w:b/>
          <w:lang w:val="en-US"/>
        </w:rPr>
        <w:t xml:space="preserve">Given </w:t>
      </w:r>
      <w:r w:rsidRPr="000E149A">
        <w:rPr>
          <w:b/>
          <w:lang w:val="en-US"/>
        </w:rPr>
        <w:t xml:space="preserve">for Moving House in the Millennium Cohort Study, </w:t>
      </w:r>
      <w:r w:rsidRPr="000E149A">
        <w:rPr>
          <w:b/>
          <w:lang w:val="en-US"/>
        </w:rPr>
        <w:br/>
      </w:r>
      <w:r w:rsidR="00A1783A">
        <w:rPr>
          <w:b/>
          <w:lang w:val="en-US"/>
        </w:rPr>
        <w:t>Sweep</w:t>
      </w:r>
      <w:r w:rsidRPr="000E149A">
        <w:rPr>
          <w:b/>
          <w:lang w:val="en-US"/>
        </w:rPr>
        <w:t>s 1-2, 2-3</w:t>
      </w:r>
    </w:p>
    <w:p w:rsidR="00206351" w:rsidRPr="000E149A" w:rsidRDefault="00206351" w:rsidP="00046500">
      <w:pPr>
        <w:rPr>
          <w:lang w:val="en-US"/>
        </w:rPr>
      </w:pPr>
    </w:p>
    <w:tbl>
      <w:tblPr>
        <w:tblW w:w="7657" w:type="dxa"/>
        <w:jc w:val="center"/>
        <w:tblCellMar>
          <w:left w:w="0" w:type="dxa"/>
          <w:right w:w="0" w:type="dxa"/>
        </w:tblCellMar>
        <w:tblLook w:val="04A0"/>
      </w:tblPr>
      <w:tblGrid>
        <w:gridCol w:w="2620"/>
        <w:gridCol w:w="1352"/>
        <w:gridCol w:w="1134"/>
        <w:gridCol w:w="1275"/>
        <w:gridCol w:w="1276"/>
      </w:tblGrid>
      <w:tr w:rsidR="00206351" w:rsidRPr="000E149A">
        <w:trPr>
          <w:trHeight w:val="768"/>
          <w:jc w:val="center"/>
        </w:trPr>
        <w:tc>
          <w:tcPr>
            <w:tcW w:w="2620" w:type="dxa"/>
            <w:tcBorders>
              <w:top w:val="single" w:sz="8" w:space="0" w:color="000000"/>
              <w:bottom w:val="single" w:sz="8" w:space="0" w:color="000000"/>
            </w:tcBorders>
            <w:shd w:val="clear" w:color="auto" w:fill="auto"/>
            <w:tcMar>
              <w:top w:w="72" w:type="dxa"/>
              <w:left w:w="144" w:type="dxa"/>
              <w:bottom w:w="72" w:type="dxa"/>
              <w:right w:w="144" w:type="dxa"/>
            </w:tcMar>
          </w:tcPr>
          <w:p w:rsidR="00206351" w:rsidRPr="000E149A" w:rsidRDefault="00206351" w:rsidP="00046500">
            <w:pPr>
              <w:rPr>
                <w:sz w:val="20"/>
                <w:szCs w:val="20"/>
              </w:rPr>
            </w:pPr>
          </w:p>
        </w:tc>
        <w:tc>
          <w:tcPr>
            <w:tcW w:w="2486" w:type="dxa"/>
            <w:gridSpan w:val="2"/>
            <w:tcBorders>
              <w:top w:val="single" w:sz="8" w:space="0" w:color="000000"/>
              <w:bottom w:val="single" w:sz="8" w:space="0" w:color="000000"/>
            </w:tcBorders>
            <w:shd w:val="clear" w:color="auto" w:fill="auto"/>
            <w:tcMar>
              <w:top w:w="72" w:type="dxa"/>
              <w:left w:w="144" w:type="dxa"/>
              <w:bottom w:w="72" w:type="dxa"/>
              <w:right w:w="144" w:type="dxa"/>
            </w:tcMar>
          </w:tcPr>
          <w:p w:rsidR="00046500" w:rsidRPr="000E149A" w:rsidRDefault="00A1783A" w:rsidP="00046500">
            <w:pPr>
              <w:jc w:val="center"/>
              <w:rPr>
                <w:sz w:val="20"/>
                <w:szCs w:val="20"/>
              </w:rPr>
            </w:pPr>
            <w:r>
              <w:rPr>
                <w:sz w:val="20"/>
                <w:szCs w:val="20"/>
              </w:rPr>
              <w:t>Sweep</w:t>
            </w:r>
            <w:r w:rsidR="00206351" w:rsidRPr="000E149A">
              <w:rPr>
                <w:sz w:val="20"/>
                <w:szCs w:val="20"/>
              </w:rPr>
              <w:t xml:space="preserve">s 1-2 </w:t>
            </w:r>
          </w:p>
          <w:p w:rsidR="00206351" w:rsidRPr="000E149A" w:rsidRDefault="00206351" w:rsidP="00046500">
            <w:pPr>
              <w:jc w:val="center"/>
              <w:rPr>
                <w:sz w:val="20"/>
                <w:szCs w:val="20"/>
              </w:rPr>
            </w:pPr>
            <w:r w:rsidRPr="000E149A">
              <w:rPr>
                <w:sz w:val="20"/>
                <w:szCs w:val="20"/>
              </w:rPr>
              <w:t>(2000-2003)</w:t>
            </w:r>
          </w:p>
        </w:tc>
        <w:tc>
          <w:tcPr>
            <w:tcW w:w="2551" w:type="dxa"/>
            <w:gridSpan w:val="2"/>
            <w:tcBorders>
              <w:top w:val="single" w:sz="8" w:space="0" w:color="000000"/>
              <w:bottom w:val="single" w:sz="8" w:space="0" w:color="000000"/>
            </w:tcBorders>
            <w:shd w:val="clear" w:color="auto" w:fill="auto"/>
            <w:tcMar>
              <w:top w:w="72" w:type="dxa"/>
              <w:left w:w="144" w:type="dxa"/>
              <w:bottom w:w="72" w:type="dxa"/>
              <w:right w:w="144" w:type="dxa"/>
            </w:tcMar>
          </w:tcPr>
          <w:p w:rsidR="00046500" w:rsidRPr="000E149A" w:rsidRDefault="00A1783A" w:rsidP="00046500">
            <w:pPr>
              <w:jc w:val="center"/>
              <w:rPr>
                <w:sz w:val="20"/>
                <w:szCs w:val="20"/>
              </w:rPr>
            </w:pPr>
            <w:r>
              <w:rPr>
                <w:sz w:val="20"/>
                <w:szCs w:val="20"/>
              </w:rPr>
              <w:t>Sweep</w:t>
            </w:r>
            <w:r w:rsidR="00206351" w:rsidRPr="000E149A">
              <w:rPr>
                <w:sz w:val="20"/>
                <w:szCs w:val="20"/>
              </w:rPr>
              <w:t xml:space="preserve">s 2-3 </w:t>
            </w:r>
          </w:p>
          <w:p w:rsidR="00206351" w:rsidRPr="000E149A" w:rsidRDefault="00206351" w:rsidP="00046500">
            <w:pPr>
              <w:jc w:val="center"/>
              <w:rPr>
                <w:sz w:val="20"/>
                <w:szCs w:val="20"/>
              </w:rPr>
            </w:pPr>
            <w:r w:rsidRPr="000E149A">
              <w:rPr>
                <w:sz w:val="20"/>
                <w:szCs w:val="20"/>
              </w:rPr>
              <w:t>(2003-2005)</w:t>
            </w:r>
          </w:p>
        </w:tc>
      </w:tr>
      <w:tr w:rsidR="00206351" w:rsidRPr="000E149A">
        <w:trPr>
          <w:trHeight w:val="750"/>
          <w:jc w:val="center"/>
        </w:trPr>
        <w:tc>
          <w:tcPr>
            <w:tcW w:w="2620" w:type="dxa"/>
            <w:tcBorders>
              <w:top w:val="single" w:sz="8" w:space="0" w:color="000000"/>
              <w:bottom w:val="single" w:sz="8" w:space="0" w:color="000000"/>
            </w:tcBorders>
            <w:shd w:val="clear" w:color="auto" w:fill="auto"/>
            <w:tcMar>
              <w:top w:w="72" w:type="dxa"/>
              <w:left w:w="144" w:type="dxa"/>
              <w:bottom w:w="72" w:type="dxa"/>
              <w:right w:w="144" w:type="dxa"/>
            </w:tcMar>
          </w:tcPr>
          <w:p w:rsidR="00206351" w:rsidRPr="000E149A" w:rsidRDefault="00206351" w:rsidP="00046500">
            <w:pPr>
              <w:rPr>
                <w:sz w:val="20"/>
                <w:szCs w:val="20"/>
              </w:rPr>
            </w:pPr>
          </w:p>
        </w:tc>
        <w:tc>
          <w:tcPr>
            <w:tcW w:w="1352" w:type="dxa"/>
            <w:tcBorders>
              <w:top w:val="single" w:sz="8" w:space="0" w:color="000000"/>
              <w:bottom w:val="single" w:sz="8" w:space="0" w:color="000000"/>
            </w:tcBorders>
            <w:shd w:val="clear" w:color="auto" w:fill="auto"/>
            <w:tcMar>
              <w:top w:w="72" w:type="dxa"/>
              <w:left w:w="144" w:type="dxa"/>
              <w:bottom w:w="72" w:type="dxa"/>
              <w:right w:w="144" w:type="dxa"/>
            </w:tcMar>
          </w:tcPr>
          <w:p w:rsidR="00206351" w:rsidRPr="000E149A" w:rsidRDefault="00206351" w:rsidP="00046500">
            <w:pPr>
              <w:jc w:val="center"/>
              <w:rPr>
                <w:sz w:val="20"/>
                <w:szCs w:val="20"/>
              </w:rPr>
            </w:pPr>
            <w:r w:rsidRPr="000E149A">
              <w:rPr>
                <w:sz w:val="20"/>
                <w:szCs w:val="20"/>
              </w:rPr>
              <w:t>All</w:t>
            </w:r>
          </w:p>
        </w:tc>
        <w:tc>
          <w:tcPr>
            <w:tcW w:w="1134" w:type="dxa"/>
            <w:tcBorders>
              <w:top w:val="single" w:sz="8" w:space="0" w:color="000000"/>
              <w:bottom w:val="single" w:sz="8" w:space="0" w:color="000000"/>
            </w:tcBorders>
            <w:shd w:val="clear" w:color="auto" w:fill="auto"/>
            <w:tcMar>
              <w:top w:w="72" w:type="dxa"/>
              <w:left w:w="144" w:type="dxa"/>
              <w:bottom w:w="72" w:type="dxa"/>
              <w:right w:w="144" w:type="dxa"/>
            </w:tcMar>
          </w:tcPr>
          <w:p w:rsidR="00206351" w:rsidRPr="000E149A" w:rsidRDefault="00206351" w:rsidP="00046500">
            <w:pPr>
              <w:jc w:val="center"/>
              <w:rPr>
                <w:sz w:val="20"/>
                <w:szCs w:val="20"/>
              </w:rPr>
            </w:pPr>
            <w:r w:rsidRPr="000E149A">
              <w:rPr>
                <w:sz w:val="20"/>
                <w:szCs w:val="20"/>
              </w:rPr>
              <w:t>No Older Sibling</w:t>
            </w:r>
          </w:p>
        </w:tc>
        <w:tc>
          <w:tcPr>
            <w:tcW w:w="1275" w:type="dxa"/>
            <w:tcBorders>
              <w:top w:val="single" w:sz="8" w:space="0" w:color="000000"/>
              <w:bottom w:val="single" w:sz="8" w:space="0" w:color="000000"/>
            </w:tcBorders>
            <w:shd w:val="clear" w:color="auto" w:fill="auto"/>
            <w:tcMar>
              <w:top w:w="72" w:type="dxa"/>
              <w:left w:w="144" w:type="dxa"/>
              <w:bottom w:w="72" w:type="dxa"/>
              <w:right w:w="144" w:type="dxa"/>
            </w:tcMar>
          </w:tcPr>
          <w:p w:rsidR="00206351" w:rsidRPr="000E149A" w:rsidRDefault="00206351" w:rsidP="00046500">
            <w:pPr>
              <w:jc w:val="center"/>
              <w:rPr>
                <w:sz w:val="20"/>
                <w:szCs w:val="20"/>
              </w:rPr>
            </w:pPr>
            <w:r w:rsidRPr="000E149A">
              <w:rPr>
                <w:sz w:val="20"/>
                <w:szCs w:val="20"/>
              </w:rPr>
              <w:t>All</w:t>
            </w:r>
          </w:p>
        </w:tc>
        <w:tc>
          <w:tcPr>
            <w:tcW w:w="1276" w:type="dxa"/>
            <w:tcBorders>
              <w:top w:val="single" w:sz="8" w:space="0" w:color="000000"/>
              <w:bottom w:val="single" w:sz="8" w:space="0" w:color="000000"/>
            </w:tcBorders>
            <w:shd w:val="clear" w:color="auto" w:fill="auto"/>
            <w:tcMar>
              <w:top w:w="72" w:type="dxa"/>
              <w:left w:w="144" w:type="dxa"/>
              <w:bottom w:w="72" w:type="dxa"/>
              <w:right w:w="144" w:type="dxa"/>
            </w:tcMar>
          </w:tcPr>
          <w:p w:rsidR="00206351" w:rsidRPr="000E149A" w:rsidRDefault="00206351" w:rsidP="00046500">
            <w:pPr>
              <w:jc w:val="center"/>
              <w:rPr>
                <w:sz w:val="20"/>
                <w:szCs w:val="20"/>
              </w:rPr>
            </w:pPr>
            <w:r w:rsidRPr="000E149A">
              <w:rPr>
                <w:sz w:val="20"/>
                <w:szCs w:val="20"/>
              </w:rPr>
              <w:t>No Older Sibling</w:t>
            </w:r>
          </w:p>
        </w:tc>
      </w:tr>
      <w:tr w:rsidR="00206351" w:rsidRPr="000E149A">
        <w:trPr>
          <w:trHeight w:val="420"/>
          <w:jc w:val="center"/>
        </w:trPr>
        <w:tc>
          <w:tcPr>
            <w:tcW w:w="2620" w:type="dxa"/>
            <w:tcBorders>
              <w:top w:val="single" w:sz="8" w:space="0" w:color="000000"/>
            </w:tcBorders>
            <w:shd w:val="clear" w:color="auto" w:fill="auto"/>
            <w:tcMar>
              <w:top w:w="72" w:type="dxa"/>
              <w:left w:w="144" w:type="dxa"/>
              <w:bottom w:w="72" w:type="dxa"/>
              <w:right w:w="144" w:type="dxa"/>
            </w:tcMar>
            <w:vAlign w:val="center"/>
          </w:tcPr>
          <w:p w:rsidR="00206351" w:rsidRPr="000E149A" w:rsidRDefault="00206351" w:rsidP="00046500">
            <w:pPr>
              <w:rPr>
                <w:sz w:val="20"/>
                <w:szCs w:val="20"/>
              </w:rPr>
            </w:pPr>
            <w:r w:rsidRPr="000E149A">
              <w:rPr>
                <w:sz w:val="20"/>
                <w:szCs w:val="20"/>
              </w:rPr>
              <w:t>Wanted to buy</w:t>
            </w:r>
          </w:p>
        </w:tc>
        <w:tc>
          <w:tcPr>
            <w:tcW w:w="1352" w:type="dxa"/>
            <w:tcBorders>
              <w:top w:val="single" w:sz="8" w:space="0" w:color="000000"/>
            </w:tcBorders>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.05</w:t>
            </w:r>
          </w:p>
        </w:tc>
        <w:tc>
          <w:tcPr>
            <w:tcW w:w="1134" w:type="dxa"/>
            <w:tcBorders>
              <w:top w:val="single" w:sz="8" w:space="0" w:color="000000"/>
            </w:tcBorders>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.07</w:t>
            </w:r>
          </w:p>
        </w:tc>
        <w:tc>
          <w:tcPr>
            <w:tcW w:w="1275" w:type="dxa"/>
            <w:tcBorders>
              <w:top w:val="single" w:sz="8" w:space="0" w:color="000000"/>
            </w:tcBorders>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.08</w:t>
            </w:r>
          </w:p>
        </w:tc>
        <w:tc>
          <w:tcPr>
            <w:tcW w:w="1276" w:type="dxa"/>
            <w:tcBorders>
              <w:top w:val="single" w:sz="8" w:space="0" w:color="000000"/>
            </w:tcBorders>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.09</w:t>
            </w:r>
          </w:p>
        </w:tc>
      </w:tr>
      <w:tr w:rsidR="00206351" w:rsidRPr="000E149A">
        <w:trPr>
          <w:trHeight w:val="420"/>
          <w:jc w:val="center"/>
        </w:trPr>
        <w:tc>
          <w:tcPr>
            <w:tcW w:w="2620" w:type="dxa"/>
            <w:shd w:val="clear" w:color="auto" w:fill="auto"/>
            <w:tcMar>
              <w:top w:w="72" w:type="dxa"/>
              <w:left w:w="144" w:type="dxa"/>
              <w:bottom w:w="72" w:type="dxa"/>
              <w:right w:w="144" w:type="dxa"/>
            </w:tcMar>
            <w:vAlign w:val="center"/>
          </w:tcPr>
          <w:p w:rsidR="00206351" w:rsidRPr="000E149A" w:rsidRDefault="00206351" w:rsidP="00046500">
            <w:pPr>
              <w:rPr>
                <w:sz w:val="20"/>
                <w:szCs w:val="20"/>
              </w:rPr>
            </w:pPr>
            <w:r w:rsidRPr="000E149A">
              <w:rPr>
                <w:sz w:val="20"/>
                <w:szCs w:val="20"/>
              </w:rPr>
              <w:t>Larger or better home</w:t>
            </w:r>
          </w:p>
        </w:tc>
        <w:tc>
          <w:tcPr>
            <w:tcW w:w="1352"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.48</w:t>
            </w:r>
          </w:p>
        </w:tc>
        <w:tc>
          <w:tcPr>
            <w:tcW w:w="1134"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.54</w:t>
            </w:r>
          </w:p>
        </w:tc>
        <w:tc>
          <w:tcPr>
            <w:tcW w:w="1275"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.52</w:t>
            </w:r>
          </w:p>
        </w:tc>
        <w:tc>
          <w:tcPr>
            <w:tcW w:w="1276"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.52</w:t>
            </w:r>
          </w:p>
        </w:tc>
      </w:tr>
      <w:tr w:rsidR="00206351" w:rsidRPr="000E149A">
        <w:trPr>
          <w:trHeight w:val="420"/>
          <w:jc w:val="center"/>
        </w:trPr>
        <w:tc>
          <w:tcPr>
            <w:tcW w:w="2620" w:type="dxa"/>
            <w:shd w:val="clear" w:color="auto" w:fill="auto"/>
            <w:tcMar>
              <w:top w:w="72" w:type="dxa"/>
              <w:left w:w="144" w:type="dxa"/>
              <w:bottom w:w="72" w:type="dxa"/>
              <w:right w:w="144" w:type="dxa"/>
            </w:tcMar>
            <w:vAlign w:val="center"/>
          </w:tcPr>
          <w:p w:rsidR="00206351" w:rsidRPr="000E149A" w:rsidRDefault="00206351" w:rsidP="00046500">
            <w:pPr>
              <w:rPr>
                <w:sz w:val="20"/>
                <w:szCs w:val="20"/>
              </w:rPr>
            </w:pPr>
            <w:r w:rsidRPr="000E149A">
              <w:rPr>
                <w:sz w:val="20"/>
                <w:szCs w:val="20"/>
              </w:rPr>
              <w:t>Work</w:t>
            </w:r>
          </w:p>
        </w:tc>
        <w:tc>
          <w:tcPr>
            <w:tcW w:w="1352"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.08</w:t>
            </w:r>
          </w:p>
        </w:tc>
        <w:tc>
          <w:tcPr>
            <w:tcW w:w="1134"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.10</w:t>
            </w:r>
          </w:p>
        </w:tc>
        <w:tc>
          <w:tcPr>
            <w:tcW w:w="1275"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.11</w:t>
            </w:r>
          </w:p>
        </w:tc>
        <w:tc>
          <w:tcPr>
            <w:tcW w:w="1276"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.11</w:t>
            </w:r>
          </w:p>
        </w:tc>
      </w:tr>
      <w:tr w:rsidR="00206351" w:rsidRPr="000E149A">
        <w:trPr>
          <w:trHeight w:val="420"/>
          <w:jc w:val="center"/>
        </w:trPr>
        <w:tc>
          <w:tcPr>
            <w:tcW w:w="2620" w:type="dxa"/>
            <w:shd w:val="clear" w:color="auto" w:fill="auto"/>
            <w:tcMar>
              <w:top w:w="72" w:type="dxa"/>
              <w:left w:w="144" w:type="dxa"/>
              <w:bottom w:w="72" w:type="dxa"/>
              <w:right w:w="144" w:type="dxa"/>
            </w:tcMar>
            <w:vAlign w:val="center"/>
          </w:tcPr>
          <w:p w:rsidR="00206351" w:rsidRPr="000E149A" w:rsidRDefault="00206351" w:rsidP="00046500">
            <w:pPr>
              <w:rPr>
                <w:sz w:val="20"/>
                <w:szCs w:val="20"/>
              </w:rPr>
            </w:pPr>
            <w:r w:rsidRPr="000E149A">
              <w:rPr>
                <w:sz w:val="20"/>
                <w:szCs w:val="20"/>
              </w:rPr>
              <w:t>Money problems</w:t>
            </w:r>
          </w:p>
        </w:tc>
        <w:tc>
          <w:tcPr>
            <w:tcW w:w="1352"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.03</w:t>
            </w:r>
          </w:p>
        </w:tc>
        <w:tc>
          <w:tcPr>
            <w:tcW w:w="1134"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.03</w:t>
            </w:r>
          </w:p>
        </w:tc>
        <w:tc>
          <w:tcPr>
            <w:tcW w:w="1275"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.06</w:t>
            </w:r>
          </w:p>
        </w:tc>
        <w:tc>
          <w:tcPr>
            <w:tcW w:w="1276"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.05</w:t>
            </w:r>
          </w:p>
        </w:tc>
      </w:tr>
      <w:tr w:rsidR="00206351" w:rsidRPr="000E149A">
        <w:trPr>
          <w:trHeight w:val="420"/>
          <w:jc w:val="center"/>
        </w:trPr>
        <w:tc>
          <w:tcPr>
            <w:tcW w:w="2620" w:type="dxa"/>
            <w:shd w:val="clear" w:color="auto" w:fill="auto"/>
            <w:tcMar>
              <w:top w:w="72" w:type="dxa"/>
              <w:left w:w="144" w:type="dxa"/>
              <w:bottom w:w="72" w:type="dxa"/>
              <w:right w:w="144" w:type="dxa"/>
            </w:tcMar>
            <w:vAlign w:val="center"/>
          </w:tcPr>
          <w:p w:rsidR="00206351" w:rsidRPr="000E149A" w:rsidRDefault="00206351" w:rsidP="00046500">
            <w:pPr>
              <w:rPr>
                <w:sz w:val="20"/>
                <w:szCs w:val="20"/>
              </w:rPr>
            </w:pPr>
            <w:r w:rsidRPr="000E149A">
              <w:rPr>
                <w:sz w:val="20"/>
                <w:szCs w:val="20"/>
              </w:rPr>
              <w:t>Relationship</w:t>
            </w:r>
          </w:p>
        </w:tc>
        <w:tc>
          <w:tcPr>
            <w:tcW w:w="1352"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.08</w:t>
            </w:r>
          </w:p>
        </w:tc>
        <w:tc>
          <w:tcPr>
            <w:tcW w:w="1134"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.08</w:t>
            </w:r>
          </w:p>
        </w:tc>
        <w:tc>
          <w:tcPr>
            <w:tcW w:w="1275"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.13</w:t>
            </w:r>
          </w:p>
        </w:tc>
        <w:tc>
          <w:tcPr>
            <w:tcW w:w="1276"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.12</w:t>
            </w:r>
          </w:p>
        </w:tc>
      </w:tr>
      <w:tr w:rsidR="00206351" w:rsidRPr="000E149A">
        <w:trPr>
          <w:trHeight w:val="420"/>
          <w:jc w:val="center"/>
        </w:trPr>
        <w:tc>
          <w:tcPr>
            <w:tcW w:w="2620" w:type="dxa"/>
            <w:shd w:val="clear" w:color="auto" w:fill="auto"/>
            <w:tcMar>
              <w:top w:w="72" w:type="dxa"/>
              <w:left w:w="144" w:type="dxa"/>
              <w:bottom w:w="72" w:type="dxa"/>
              <w:right w:w="144" w:type="dxa"/>
            </w:tcMar>
            <w:vAlign w:val="center"/>
          </w:tcPr>
          <w:p w:rsidR="00206351" w:rsidRPr="000E149A" w:rsidRDefault="00206351" w:rsidP="00046500">
            <w:pPr>
              <w:rPr>
                <w:sz w:val="20"/>
                <w:szCs w:val="20"/>
              </w:rPr>
            </w:pPr>
            <w:r w:rsidRPr="000E149A">
              <w:rPr>
                <w:sz w:val="20"/>
                <w:szCs w:val="20"/>
              </w:rPr>
              <w:t>Better area</w:t>
            </w:r>
          </w:p>
        </w:tc>
        <w:tc>
          <w:tcPr>
            <w:tcW w:w="1352"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.20</w:t>
            </w:r>
          </w:p>
        </w:tc>
        <w:tc>
          <w:tcPr>
            <w:tcW w:w="1134"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.23</w:t>
            </w:r>
          </w:p>
        </w:tc>
        <w:tc>
          <w:tcPr>
            <w:tcW w:w="1275"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.23</w:t>
            </w:r>
          </w:p>
        </w:tc>
        <w:tc>
          <w:tcPr>
            <w:tcW w:w="1276" w:type="dxa"/>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.24</w:t>
            </w:r>
          </w:p>
        </w:tc>
      </w:tr>
      <w:tr w:rsidR="00206351" w:rsidRPr="000E149A">
        <w:trPr>
          <w:trHeight w:val="420"/>
          <w:jc w:val="center"/>
        </w:trPr>
        <w:tc>
          <w:tcPr>
            <w:tcW w:w="2620" w:type="dxa"/>
            <w:tcBorders>
              <w:bottom w:val="single" w:sz="8" w:space="0" w:color="000000"/>
            </w:tcBorders>
            <w:shd w:val="clear" w:color="auto" w:fill="auto"/>
            <w:tcMar>
              <w:top w:w="72" w:type="dxa"/>
              <w:left w:w="144" w:type="dxa"/>
              <w:bottom w:w="72" w:type="dxa"/>
              <w:right w:w="144" w:type="dxa"/>
            </w:tcMar>
            <w:vAlign w:val="center"/>
          </w:tcPr>
          <w:p w:rsidR="00206351" w:rsidRPr="000E149A" w:rsidRDefault="00581831" w:rsidP="00046500">
            <w:pPr>
              <w:rPr>
                <w:sz w:val="20"/>
                <w:szCs w:val="20"/>
              </w:rPr>
            </w:pPr>
            <w:r>
              <w:rPr>
                <w:sz w:val="20"/>
                <w:szCs w:val="20"/>
              </w:rPr>
              <w:t>Children’s e</w:t>
            </w:r>
            <w:r w:rsidR="00206351" w:rsidRPr="000E149A">
              <w:rPr>
                <w:sz w:val="20"/>
                <w:szCs w:val="20"/>
              </w:rPr>
              <w:t>ducation</w:t>
            </w:r>
          </w:p>
        </w:tc>
        <w:tc>
          <w:tcPr>
            <w:tcW w:w="1352" w:type="dxa"/>
            <w:tcBorders>
              <w:bottom w:val="single" w:sz="8" w:space="0" w:color="000000"/>
            </w:tcBorders>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.11</w:t>
            </w:r>
          </w:p>
        </w:tc>
        <w:tc>
          <w:tcPr>
            <w:tcW w:w="1134" w:type="dxa"/>
            <w:tcBorders>
              <w:bottom w:val="single" w:sz="8" w:space="0" w:color="000000"/>
            </w:tcBorders>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.13</w:t>
            </w:r>
          </w:p>
        </w:tc>
        <w:tc>
          <w:tcPr>
            <w:tcW w:w="1275" w:type="dxa"/>
            <w:tcBorders>
              <w:bottom w:val="single" w:sz="8" w:space="0" w:color="000000"/>
            </w:tcBorders>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.18</w:t>
            </w:r>
          </w:p>
        </w:tc>
        <w:tc>
          <w:tcPr>
            <w:tcW w:w="1276" w:type="dxa"/>
            <w:tcBorders>
              <w:bottom w:val="single" w:sz="8" w:space="0" w:color="000000"/>
            </w:tcBorders>
            <w:shd w:val="clear" w:color="auto" w:fill="auto"/>
            <w:tcMar>
              <w:top w:w="72" w:type="dxa"/>
              <w:left w:w="144" w:type="dxa"/>
              <w:bottom w:w="72" w:type="dxa"/>
              <w:right w:w="144" w:type="dxa"/>
            </w:tcMar>
            <w:vAlign w:val="center"/>
          </w:tcPr>
          <w:p w:rsidR="00206351" w:rsidRPr="000E149A" w:rsidRDefault="00206351" w:rsidP="00046500">
            <w:pPr>
              <w:jc w:val="center"/>
              <w:rPr>
                <w:sz w:val="20"/>
                <w:szCs w:val="20"/>
              </w:rPr>
            </w:pPr>
            <w:r w:rsidRPr="000E149A">
              <w:rPr>
                <w:sz w:val="20"/>
                <w:szCs w:val="20"/>
              </w:rPr>
              <w:t>.20</w:t>
            </w:r>
          </w:p>
        </w:tc>
      </w:tr>
    </w:tbl>
    <w:p w:rsidR="00206351" w:rsidRPr="000E149A" w:rsidRDefault="00206351" w:rsidP="00046500"/>
    <w:p w:rsidR="00CE4D17" w:rsidRPr="00CE4D17" w:rsidRDefault="00CE4D17" w:rsidP="00CE4D17">
      <w:pPr>
        <w:rPr>
          <w:sz w:val="20"/>
        </w:rPr>
      </w:pPr>
      <w:r w:rsidRPr="00CE4D17">
        <w:rPr>
          <w:sz w:val="20"/>
        </w:rPr>
        <w:t xml:space="preserve">Notes:  Source – Millennium Cohort Study, </w:t>
      </w:r>
      <w:r w:rsidR="00A1783A">
        <w:rPr>
          <w:sz w:val="20"/>
        </w:rPr>
        <w:t>Sweep</w:t>
      </w:r>
      <w:r w:rsidRPr="00CE4D17">
        <w:rPr>
          <w:sz w:val="20"/>
        </w:rPr>
        <w:t>s 1-3.</w:t>
      </w:r>
    </w:p>
    <w:p w:rsidR="00206351" w:rsidRPr="000E149A" w:rsidRDefault="00206351" w:rsidP="00046500"/>
    <w:p w:rsidR="00206351" w:rsidRPr="000E149A" w:rsidRDefault="00206351" w:rsidP="00206351">
      <w:r w:rsidRPr="000E149A">
        <w:br w:type="page"/>
      </w:r>
    </w:p>
    <w:p w:rsidR="00206351" w:rsidRPr="000E149A" w:rsidRDefault="00206351" w:rsidP="00121F0F">
      <w:pPr>
        <w:jc w:val="center"/>
        <w:rPr>
          <w:b/>
          <w:lang w:val="en-US"/>
        </w:rPr>
      </w:pPr>
      <w:r w:rsidRPr="000E149A">
        <w:rPr>
          <w:b/>
          <w:lang w:val="en-US"/>
        </w:rPr>
        <w:t>Table 3. Descrip</w:t>
      </w:r>
      <w:r w:rsidR="000A0D22">
        <w:rPr>
          <w:b/>
          <w:lang w:val="en-US"/>
        </w:rPr>
        <w:t>tive Statistical Models of the Probability of Moving H</w:t>
      </w:r>
      <w:r w:rsidRPr="000E149A">
        <w:rPr>
          <w:b/>
          <w:lang w:val="en-US"/>
        </w:rPr>
        <w:t>ouse: Pr[Moving House]</w:t>
      </w:r>
    </w:p>
    <w:p w:rsidR="00121F0F" w:rsidRDefault="00121F0F" w:rsidP="00121F0F">
      <w:pPr>
        <w:jc w:val="center"/>
        <w:rPr>
          <w:b/>
          <w:lang w:val="en-US"/>
        </w:rPr>
      </w:pPr>
    </w:p>
    <w:tbl>
      <w:tblPr>
        <w:tblW w:w="11694" w:type="dxa"/>
        <w:jc w:val="center"/>
        <w:tblCellMar>
          <w:left w:w="0" w:type="dxa"/>
          <w:right w:w="0" w:type="dxa"/>
        </w:tblCellMar>
        <w:tblLook w:val="04A0"/>
      </w:tblPr>
      <w:tblGrid>
        <w:gridCol w:w="2259"/>
        <w:gridCol w:w="1405"/>
        <w:gridCol w:w="1540"/>
        <w:gridCol w:w="1650"/>
        <w:gridCol w:w="1540"/>
        <w:gridCol w:w="1650"/>
        <w:gridCol w:w="1650"/>
      </w:tblGrid>
      <w:tr w:rsidR="000E149A" w:rsidRPr="00BE07CF">
        <w:trPr>
          <w:trHeight w:val="268"/>
          <w:jc w:val="center"/>
        </w:trPr>
        <w:tc>
          <w:tcPr>
            <w:tcW w:w="2259"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rPr>
                <w:sz w:val="20"/>
                <w:szCs w:val="20"/>
              </w:rPr>
            </w:pPr>
          </w:p>
        </w:tc>
        <w:tc>
          <w:tcPr>
            <w:tcW w:w="4595" w:type="dxa"/>
            <w:gridSpan w:val="3"/>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A1783A" w:rsidP="00264B74">
            <w:pPr>
              <w:jc w:val="center"/>
              <w:rPr>
                <w:sz w:val="20"/>
                <w:szCs w:val="20"/>
              </w:rPr>
            </w:pPr>
            <w:r>
              <w:rPr>
                <w:sz w:val="20"/>
                <w:szCs w:val="20"/>
              </w:rPr>
              <w:t>Sweep</w:t>
            </w:r>
            <w:r w:rsidR="000E149A" w:rsidRPr="00D91D81">
              <w:rPr>
                <w:sz w:val="20"/>
                <w:szCs w:val="20"/>
              </w:rPr>
              <w:t xml:space="preserve"> 1-2</w:t>
            </w:r>
          </w:p>
        </w:tc>
        <w:tc>
          <w:tcPr>
            <w:tcW w:w="4840" w:type="dxa"/>
            <w:gridSpan w:val="3"/>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A1783A" w:rsidP="00264B74">
            <w:pPr>
              <w:jc w:val="center"/>
              <w:rPr>
                <w:sz w:val="20"/>
                <w:szCs w:val="20"/>
              </w:rPr>
            </w:pPr>
            <w:r>
              <w:rPr>
                <w:sz w:val="20"/>
                <w:szCs w:val="20"/>
              </w:rPr>
              <w:t>Sweep</w:t>
            </w:r>
            <w:r w:rsidR="000E149A" w:rsidRPr="00D91D81">
              <w:rPr>
                <w:sz w:val="20"/>
                <w:szCs w:val="20"/>
              </w:rPr>
              <w:t xml:space="preserve"> 2-3</w:t>
            </w:r>
          </w:p>
        </w:tc>
      </w:tr>
      <w:tr w:rsidR="000E149A" w:rsidRPr="00BE07CF">
        <w:trPr>
          <w:trHeight w:val="563"/>
          <w:jc w:val="center"/>
        </w:trPr>
        <w:tc>
          <w:tcPr>
            <w:tcW w:w="2259"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rPr>
                <w:sz w:val="20"/>
                <w:szCs w:val="20"/>
              </w:rPr>
            </w:pPr>
            <w:r w:rsidRPr="00D91D81">
              <w:rPr>
                <w:sz w:val="20"/>
                <w:szCs w:val="20"/>
              </w:rPr>
              <w:t>(t-1) dated independent variables</w:t>
            </w:r>
          </w:p>
        </w:tc>
        <w:tc>
          <w:tcPr>
            <w:tcW w:w="1405"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jc w:val="center"/>
              <w:rPr>
                <w:sz w:val="20"/>
                <w:szCs w:val="20"/>
              </w:rPr>
            </w:pPr>
            <w:r w:rsidRPr="00D91D81">
              <w:rPr>
                <w:sz w:val="20"/>
                <w:szCs w:val="20"/>
              </w:rPr>
              <w:t>All, Survey</w:t>
            </w:r>
          </w:p>
        </w:tc>
        <w:tc>
          <w:tcPr>
            <w:tcW w:w="1540"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jc w:val="center"/>
              <w:rPr>
                <w:sz w:val="20"/>
                <w:szCs w:val="20"/>
              </w:rPr>
            </w:pPr>
            <w:r w:rsidRPr="00D91D81">
              <w:rPr>
                <w:sz w:val="20"/>
                <w:szCs w:val="20"/>
              </w:rPr>
              <w:t>All, Postcode</w:t>
            </w:r>
          </w:p>
        </w:tc>
        <w:tc>
          <w:tcPr>
            <w:tcW w:w="1650"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961374" w:rsidP="00961374">
            <w:pPr>
              <w:jc w:val="center"/>
              <w:rPr>
                <w:sz w:val="20"/>
                <w:szCs w:val="20"/>
              </w:rPr>
            </w:pPr>
            <w:r>
              <w:rPr>
                <w:sz w:val="20"/>
                <w:szCs w:val="20"/>
              </w:rPr>
              <w:t>No O</w:t>
            </w:r>
            <w:r w:rsidR="000E149A" w:rsidRPr="00D91D81">
              <w:rPr>
                <w:sz w:val="20"/>
                <w:szCs w:val="20"/>
              </w:rPr>
              <w:t xml:space="preserve">lder </w:t>
            </w:r>
            <w:r>
              <w:rPr>
                <w:sz w:val="20"/>
                <w:szCs w:val="20"/>
              </w:rPr>
              <w:t>S</w:t>
            </w:r>
            <w:r w:rsidR="000E149A" w:rsidRPr="00D91D81">
              <w:rPr>
                <w:sz w:val="20"/>
                <w:szCs w:val="20"/>
              </w:rPr>
              <w:t>ibling, Survey</w:t>
            </w:r>
          </w:p>
        </w:tc>
        <w:tc>
          <w:tcPr>
            <w:tcW w:w="1540"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jc w:val="center"/>
              <w:rPr>
                <w:sz w:val="20"/>
                <w:szCs w:val="20"/>
              </w:rPr>
            </w:pPr>
            <w:r w:rsidRPr="00D91D81">
              <w:rPr>
                <w:sz w:val="20"/>
                <w:szCs w:val="20"/>
              </w:rPr>
              <w:t>All, Survey</w:t>
            </w:r>
          </w:p>
        </w:tc>
        <w:tc>
          <w:tcPr>
            <w:tcW w:w="1650"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jc w:val="center"/>
              <w:rPr>
                <w:sz w:val="20"/>
                <w:szCs w:val="20"/>
              </w:rPr>
            </w:pPr>
            <w:r w:rsidRPr="00D91D81">
              <w:rPr>
                <w:sz w:val="20"/>
                <w:szCs w:val="20"/>
              </w:rPr>
              <w:t>All, Postcode</w:t>
            </w:r>
          </w:p>
        </w:tc>
        <w:tc>
          <w:tcPr>
            <w:tcW w:w="1650"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961374" w:rsidP="00961374">
            <w:pPr>
              <w:jc w:val="center"/>
              <w:rPr>
                <w:sz w:val="20"/>
                <w:szCs w:val="20"/>
              </w:rPr>
            </w:pPr>
            <w:r>
              <w:rPr>
                <w:sz w:val="20"/>
                <w:szCs w:val="20"/>
              </w:rPr>
              <w:t>No O</w:t>
            </w:r>
            <w:r w:rsidR="000E149A" w:rsidRPr="00D91D81">
              <w:rPr>
                <w:sz w:val="20"/>
                <w:szCs w:val="20"/>
              </w:rPr>
              <w:t xml:space="preserve">lder </w:t>
            </w:r>
            <w:r>
              <w:rPr>
                <w:sz w:val="20"/>
                <w:szCs w:val="20"/>
              </w:rPr>
              <w:t>S</w:t>
            </w:r>
            <w:r w:rsidR="000E149A" w:rsidRPr="00D91D81">
              <w:rPr>
                <w:sz w:val="20"/>
                <w:szCs w:val="20"/>
              </w:rPr>
              <w:t>ibling, Survey</w:t>
            </w:r>
          </w:p>
        </w:tc>
      </w:tr>
      <w:tr w:rsidR="000E149A" w:rsidRPr="00BE07CF">
        <w:trPr>
          <w:trHeight w:val="450"/>
          <w:jc w:val="center"/>
        </w:trPr>
        <w:tc>
          <w:tcPr>
            <w:tcW w:w="2259" w:type="dxa"/>
            <w:tcBorders>
              <w:top w:val="single" w:sz="8" w:space="0" w:color="000000"/>
            </w:tcBorders>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Age</w:t>
            </w:r>
          </w:p>
        </w:tc>
        <w:tc>
          <w:tcPr>
            <w:tcW w:w="1405" w:type="dxa"/>
            <w:tcBorders>
              <w:top w:val="single" w:sz="8" w:space="0" w:color="000000"/>
            </w:tcBorders>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-.014 (.001)</w:t>
            </w:r>
          </w:p>
        </w:tc>
        <w:tc>
          <w:tcPr>
            <w:tcW w:w="1540" w:type="dxa"/>
            <w:tcBorders>
              <w:top w:val="single" w:sz="8" w:space="0" w:color="000000"/>
            </w:tcBorders>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-.014 (.001)</w:t>
            </w:r>
          </w:p>
        </w:tc>
        <w:tc>
          <w:tcPr>
            <w:tcW w:w="1650" w:type="dxa"/>
            <w:tcBorders>
              <w:top w:val="single" w:sz="8" w:space="0" w:color="000000"/>
            </w:tcBorders>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-.014(.002)</w:t>
            </w:r>
          </w:p>
        </w:tc>
        <w:tc>
          <w:tcPr>
            <w:tcW w:w="1540" w:type="dxa"/>
            <w:tcBorders>
              <w:top w:val="single" w:sz="8" w:space="0" w:color="000000"/>
            </w:tcBorders>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-.030(.004)</w:t>
            </w:r>
          </w:p>
        </w:tc>
        <w:tc>
          <w:tcPr>
            <w:tcW w:w="1650" w:type="dxa"/>
            <w:tcBorders>
              <w:top w:val="single" w:sz="8" w:space="0" w:color="000000"/>
            </w:tcBorders>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-.010(.001)</w:t>
            </w:r>
          </w:p>
        </w:tc>
        <w:tc>
          <w:tcPr>
            <w:tcW w:w="1650" w:type="dxa"/>
            <w:tcBorders>
              <w:top w:val="single" w:sz="8" w:space="0" w:color="000000"/>
            </w:tcBorders>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-.006 (.001)</w:t>
            </w:r>
          </w:p>
        </w:tc>
      </w:tr>
      <w:tr w:rsidR="000E149A" w:rsidRPr="00BE07CF">
        <w:trPr>
          <w:trHeight w:val="450"/>
          <w:jc w:val="center"/>
        </w:trPr>
        <w:tc>
          <w:tcPr>
            <w:tcW w:w="2259"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Teenage mother</w:t>
            </w:r>
          </w:p>
        </w:tc>
        <w:tc>
          <w:tcPr>
            <w:tcW w:w="1405"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-.003 (.021)</w:t>
            </w:r>
          </w:p>
        </w:tc>
        <w:tc>
          <w:tcPr>
            <w:tcW w:w="154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.000 (.022)</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-.021 (.028)</w:t>
            </w:r>
          </w:p>
        </w:tc>
        <w:tc>
          <w:tcPr>
            <w:tcW w:w="154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.061 (.065)</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.012 (.018)</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.025 (.023)</w:t>
            </w:r>
          </w:p>
        </w:tc>
      </w:tr>
      <w:tr w:rsidR="000E149A" w:rsidRPr="00BE07CF">
        <w:trPr>
          <w:trHeight w:val="450"/>
          <w:jc w:val="center"/>
        </w:trPr>
        <w:tc>
          <w:tcPr>
            <w:tcW w:w="2259"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Log(income)</w:t>
            </w:r>
          </w:p>
        </w:tc>
        <w:tc>
          <w:tcPr>
            <w:tcW w:w="1405"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.023 (.009)</w:t>
            </w:r>
          </w:p>
        </w:tc>
        <w:tc>
          <w:tcPr>
            <w:tcW w:w="154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.024 (.009)</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.018 (.014)</w:t>
            </w:r>
          </w:p>
        </w:tc>
        <w:tc>
          <w:tcPr>
            <w:tcW w:w="154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.011 (.006)</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.019 (.008)</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.016 (.009)</w:t>
            </w:r>
          </w:p>
        </w:tc>
      </w:tr>
      <w:tr w:rsidR="000E149A" w:rsidRPr="00BE07CF">
        <w:trPr>
          <w:trHeight w:val="450"/>
          <w:jc w:val="center"/>
        </w:trPr>
        <w:tc>
          <w:tcPr>
            <w:tcW w:w="2259"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Lone parent</w:t>
            </w:r>
          </w:p>
        </w:tc>
        <w:tc>
          <w:tcPr>
            <w:tcW w:w="1405"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.028 (.016)</w:t>
            </w:r>
          </w:p>
        </w:tc>
        <w:tc>
          <w:tcPr>
            <w:tcW w:w="154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.024 (.016)</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.028 (.026)</w:t>
            </w:r>
          </w:p>
        </w:tc>
        <w:tc>
          <w:tcPr>
            <w:tcW w:w="154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.063 (.051)</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.024 (.015)</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.018 (.019)</w:t>
            </w:r>
          </w:p>
        </w:tc>
      </w:tr>
      <w:tr w:rsidR="000E149A" w:rsidRPr="00BE07CF">
        <w:trPr>
          <w:trHeight w:val="450"/>
          <w:jc w:val="center"/>
        </w:trPr>
        <w:tc>
          <w:tcPr>
            <w:tcW w:w="2259"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5 A*-C GCSEs</w:t>
            </w:r>
          </w:p>
        </w:tc>
        <w:tc>
          <w:tcPr>
            <w:tcW w:w="1405"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.024 (.014)</w:t>
            </w:r>
          </w:p>
        </w:tc>
        <w:tc>
          <w:tcPr>
            <w:tcW w:w="154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.031 (.014)</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-.027 (.025)</w:t>
            </w:r>
          </w:p>
        </w:tc>
        <w:tc>
          <w:tcPr>
            <w:tcW w:w="154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.015 (.012)</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.006 (.014)</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.020 (.020)</w:t>
            </w:r>
          </w:p>
        </w:tc>
      </w:tr>
      <w:tr w:rsidR="000E149A" w:rsidRPr="00BE07CF">
        <w:trPr>
          <w:trHeight w:val="422"/>
          <w:jc w:val="center"/>
        </w:trPr>
        <w:tc>
          <w:tcPr>
            <w:tcW w:w="2259"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A-levels</w:t>
            </w:r>
          </w:p>
        </w:tc>
        <w:tc>
          <w:tcPr>
            <w:tcW w:w="1405"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.020  (.017)</w:t>
            </w:r>
          </w:p>
        </w:tc>
        <w:tc>
          <w:tcPr>
            <w:tcW w:w="154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.032  (.018)</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-.023 (.028)</w:t>
            </w:r>
          </w:p>
        </w:tc>
        <w:tc>
          <w:tcPr>
            <w:tcW w:w="154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.005 (.013)</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.000 (.015)</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.011 (.024)</w:t>
            </w:r>
          </w:p>
        </w:tc>
      </w:tr>
      <w:tr w:rsidR="000E149A" w:rsidRPr="00BE07CF">
        <w:trPr>
          <w:trHeight w:val="450"/>
          <w:jc w:val="center"/>
        </w:trPr>
        <w:tc>
          <w:tcPr>
            <w:tcW w:w="2259"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Degree +</w:t>
            </w:r>
          </w:p>
        </w:tc>
        <w:tc>
          <w:tcPr>
            <w:tcW w:w="1405"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.046 (.016)</w:t>
            </w:r>
          </w:p>
        </w:tc>
        <w:tc>
          <w:tcPr>
            <w:tcW w:w="154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.061 (.016)</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.020 (.027)</w:t>
            </w:r>
          </w:p>
        </w:tc>
        <w:tc>
          <w:tcPr>
            <w:tcW w:w="154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.023 (.011)</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.036 (.014)</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.022 (.020)</w:t>
            </w:r>
          </w:p>
        </w:tc>
      </w:tr>
      <w:tr w:rsidR="000E149A" w:rsidRPr="00BE07CF">
        <w:trPr>
          <w:trHeight w:val="450"/>
          <w:jc w:val="center"/>
        </w:trPr>
        <w:tc>
          <w:tcPr>
            <w:tcW w:w="2259"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Social housing</w:t>
            </w:r>
          </w:p>
        </w:tc>
        <w:tc>
          <w:tcPr>
            <w:tcW w:w="1405"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.062 (.016)</w:t>
            </w:r>
          </w:p>
        </w:tc>
        <w:tc>
          <w:tcPr>
            <w:tcW w:w="154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.066 (.017)</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.063 (.029)</w:t>
            </w:r>
          </w:p>
        </w:tc>
        <w:tc>
          <w:tcPr>
            <w:tcW w:w="154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.034 (.014)</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.037 (.016)</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.031 (.023)</w:t>
            </w:r>
          </w:p>
        </w:tc>
      </w:tr>
      <w:tr w:rsidR="000E149A" w:rsidRPr="00BE07CF">
        <w:trPr>
          <w:trHeight w:val="450"/>
          <w:jc w:val="center"/>
        </w:trPr>
        <w:tc>
          <w:tcPr>
            <w:tcW w:w="2259"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Private rental</w:t>
            </w:r>
          </w:p>
        </w:tc>
        <w:tc>
          <w:tcPr>
            <w:tcW w:w="1405"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.307 (.020)</w:t>
            </w:r>
          </w:p>
        </w:tc>
        <w:tc>
          <w:tcPr>
            <w:tcW w:w="154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.316 (.020)</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.319 (.028)</w:t>
            </w:r>
          </w:p>
        </w:tc>
        <w:tc>
          <w:tcPr>
            <w:tcW w:w="154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.217 (.024)</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.267 (.025)</w:t>
            </w:r>
          </w:p>
        </w:tc>
        <w:tc>
          <w:tcPr>
            <w:tcW w:w="1650" w:type="dxa"/>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.239 (.034)</w:t>
            </w:r>
          </w:p>
        </w:tc>
      </w:tr>
      <w:tr w:rsidR="000E149A" w:rsidRPr="00BE07CF">
        <w:trPr>
          <w:trHeight w:val="450"/>
          <w:jc w:val="center"/>
        </w:trPr>
        <w:tc>
          <w:tcPr>
            <w:tcW w:w="2259" w:type="dxa"/>
            <w:tcBorders>
              <w:bottom w:val="single" w:sz="8" w:space="0" w:color="000000"/>
            </w:tcBorders>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Live with parents</w:t>
            </w:r>
          </w:p>
        </w:tc>
        <w:tc>
          <w:tcPr>
            <w:tcW w:w="1405" w:type="dxa"/>
            <w:tcBorders>
              <w:bottom w:val="single" w:sz="8" w:space="0" w:color="000000"/>
            </w:tcBorders>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.297 (.028)</w:t>
            </w:r>
          </w:p>
        </w:tc>
        <w:tc>
          <w:tcPr>
            <w:tcW w:w="1540" w:type="dxa"/>
            <w:tcBorders>
              <w:bottom w:val="single" w:sz="8" w:space="0" w:color="000000"/>
            </w:tcBorders>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.299 (.026)</w:t>
            </w:r>
          </w:p>
        </w:tc>
        <w:tc>
          <w:tcPr>
            <w:tcW w:w="1650" w:type="dxa"/>
            <w:tcBorders>
              <w:bottom w:val="single" w:sz="8" w:space="0" w:color="000000"/>
            </w:tcBorders>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.270 (.035)</w:t>
            </w:r>
          </w:p>
        </w:tc>
        <w:tc>
          <w:tcPr>
            <w:tcW w:w="1540" w:type="dxa"/>
            <w:tcBorders>
              <w:bottom w:val="single" w:sz="8" w:space="0" w:color="000000"/>
            </w:tcBorders>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.177 (.041)</w:t>
            </w:r>
          </w:p>
        </w:tc>
        <w:tc>
          <w:tcPr>
            <w:tcW w:w="1650" w:type="dxa"/>
            <w:tcBorders>
              <w:bottom w:val="single" w:sz="8" w:space="0" w:color="000000"/>
            </w:tcBorders>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.217 (.043)</w:t>
            </w:r>
          </w:p>
        </w:tc>
        <w:tc>
          <w:tcPr>
            <w:tcW w:w="1650" w:type="dxa"/>
            <w:tcBorders>
              <w:bottom w:val="single" w:sz="8" w:space="0" w:color="000000"/>
            </w:tcBorders>
            <w:shd w:val="clear" w:color="auto" w:fill="auto"/>
            <w:tcMar>
              <w:top w:w="72" w:type="dxa"/>
              <w:left w:w="144" w:type="dxa"/>
              <w:bottom w:w="72" w:type="dxa"/>
              <w:right w:w="144" w:type="dxa"/>
            </w:tcMar>
          </w:tcPr>
          <w:p w:rsidR="000E149A" w:rsidRPr="00D91D81" w:rsidRDefault="000E149A" w:rsidP="000E149A">
            <w:pPr>
              <w:rPr>
                <w:sz w:val="20"/>
                <w:szCs w:val="20"/>
              </w:rPr>
            </w:pPr>
            <w:r w:rsidRPr="00D91D81">
              <w:rPr>
                <w:sz w:val="20"/>
                <w:szCs w:val="20"/>
              </w:rPr>
              <w:t>.217 (.053)</w:t>
            </w:r>
          </w:p>
        </w:tc>
      </w:tr>
      <w:tr w:rsidR="000E149A" w:rsidRPr="00BE07CF">
        <w:trPr>
          <w:trHeight w:val="448"/>
          <w:jc w:val="center"/>
        </w:trPr>
        <w:tc>
          <w:tcPr>
            <w:tcW w:w="2259"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rPr>
                <w:sz w:val="20"/>
                <w:szCs w:val="20"/>
              </w:rPr>
            </w:pPr>
            <w:r w:rsidRPr="00D91D81">
              <w:rPr>
                <w:sz w:val="20"/>
                <w:szCs w:val="20"/>
              </w:rPr>
              <w:t>Controls for gender, ethnicity, region</w:t>
            </w:r>
          </w:p>
        </w:tc>
        <w:tc>
          <w:tcPr>
            <w:tcW w:w="1405"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jc w:val="center"/>
              <w:rPr>
                <w:sz w:val="20"/>
                <w:szCs w:val="20"/>
              </w:rPr>
            </w:pPr>
            <w:r w:rsidRPr="00D91D81">
              <w:rPr>
                <w:sz w:val="20"/>
                <w:szCs w:val="20"/>
              </w:rPr>
              <w:t>Yes</w:t>
            </w:r>
          </w:p>
        </w:tc>
        <w:tc>
          <w:tcPr>
            <w:tcW w:w="1540"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jc w:val="center"/>
              <w:rPr>
                <w:sz w:val="20"/>
                <w:szCs w:val="20"/>
              </w:rPr>
            </w:pPr>
            <w:r w:rsidRPr="00D91D81">
              <w:rPr>
                <w:sz w:val="20"/>
                <w:szCs w:val="20"/>
              </w:rPr>
              <w:t>Yes</w:t>
            </w:r>
          </w:p>
        </w:tc>
        <w:tc>
          <w:tcPr>
            <w:tcW w:w="1650"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jc w:val="center"/>
              <w:rPr>
                <w:sz w:val="20"/>
                <w:szCs w:val="20"/>
              </w:rPr>
            </w:pPr>
            <w:r w:rsidRPr="00D91D81">
              <w:rPr>
                <w:sz w:val="20"/>
                <w:szCs w:val="20"/>
              </w:rPr>
              <w:t>Yes</w:t>
            </w:r>
          </w:p>
        </w:tc>
        <w:tc>
          <w:tcPr>
            <w:tcW w:w="1540"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jc w:val="center"/>
              <w:rPr>
                <w:sz w:val="20"/>
                <w:szCs w:val="20"/>
              </w:rPr>
            </w:pPr>
            <w:r w:rsidRPr="00D91D81">
              <w:rPr>
                <w:sz w:val="20"/>
                <w:szCs w:val="20"/>
              </w:rPr>
              <w:t>Yes</w:t>
            </w:r>
          </w:p>
        </w:tc>
        <w:tc>
          <w:tcPr>
            <w:tcW w:w="1650"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jc w:val="center"/>
              <w:rPr>
                <w:sz w:val="20"/>
                <w:szCs w:val="20"/>
              </w:rPr>
            </w:pPr>
            <w:r w:rsidRPr="00D91D81">
              <w:rPr>
                <w:sz w:val="20"/>
                <w:szCs w:val="20"/>
              </w:rPr>
              <w:t>Yes</w:t>
            </w:r>
          </w:p>
        </w:tc>
        <w:tc>
          <w:tcPr>
            <w:tcW w:w="1650"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jc w:val="center"/>
              <w:rPr>
                <w:sz w:val="20"/>
                <w:szCs w:val="20"/>
              </w:rPr>
            </w:pPr>
            <w:r w:rsidRPr="00D91D81">
              <w:rPr>
                <w:sz w:val="20"/>
                <w:szCs w:val="20"/>
              </w:rPr>
              <w:t>Yes</w:t>
            </w:r>
          </w:p>
        </w:tc>
      </w:tr>
      <w:tr w:rsidR="000E149A" w:rsidRPr="00BE07CF">
        <w:trPr>
          <w:trHeight w:val="253"/>
          <w:jc w:val="center"/>
        </w:trPr>
        <w:tc>
          <w:tcPr>
            <w:tcW w:w="2259"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rPr>
                <w:sz w:val="20"/>
                <w:szCs w:val="20"/>
              </w:rPr>
            </w:pPr>
            <w:r w:rsidRPr="00D91D81">
              <w:rPr>
                <w:sz w:val="20"/>
                <w:szCs w:val="20"/>
              </w:rPr>
              <w:t>Sample size</w:t>
            </w:r>
          </w:p>
        </w:tc>
        <w:tc>
          <w:tcPr>
            <w:tcW w:w="1405"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jc w:val="center"/>
              <w:rPr>
                <w:sz w:val="20"/>
                <w:szCs w:val="20"/>
              </w:rPr>
            </w:pPr>
            <w:r w:rsidRPr="00D91D81">
              <w:rPr>
                <w:sz w:val="20"/>
                <w:szCs w:val="20"/>
              </w:rPr>
              <w:t>14818</w:t>
            </w:r>
          </w:p>
        </w:tc>
        <w:tc>
          <w:tcPr>
            <w:tcW w:w="1540"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jc w:val="center"/>
              <w:rPr>
                <w:sz w:val="20"/>
                <w:szCs w:val="20"/>
              </w:rPr>
            </w:pPr>
            <w:r w:rsidRPr="00D91D81">
              <w:rPr>
                <w:sz w:val="20"/>
                <w:szCs w:val="20"/>
              </w:rPr>
              <w:t>15085</w:t>
            </w:r>
          </w:p>
        </w:tc>
        <w:tc>
          <w:tcPr>
            <w:tcW w:w="1650"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jc w:val="center"/>
              <w:rPr>
                <w:sz w:val="20"/>
                <w:szCs w:val="20"/>
              </w:rPr>
            </w:pPr>
            <w:r w:rsidRPr="00D91D81">
              <w:rPr>
                <w:sz w:val="20"/>
                <w:szCs w:val="20"/>
              </w:rPr>
              <w:t>6185</w:t>
            </w:r>
          </w:p>
        </w:tc>
        <w:tc>
          <w:tcPr>
            <w:tcW w:w="1540"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jc w:val="center"/>
              <w:rPr>
                <w:sz w:val="20"/>
                <w:szCs w:val="20"/>
              </w:rPr>
            </w:pPr>
            <w:r w:rsidRPr="00D91D81">
              <w:rPr>
                <w:sz w:val="20"/>
                <w:szCs w:val="20"/>
              </w:rPr>
              <w:t>14837</w:t>
            </w:r>
          </w:p>
        </w:tc>
        <w:tc>
          <w:tcPr>
            <w:tcW w:w="1650"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jc w:val="center"/>
              <w:rPr>
                <w:sz w:val="20"/>
                <w:szCs w:val="20"/>
              </w:rPr>
            </w:pPr>
            <w:r w:rsidRPr="00D91D81">
              <w:rPr>
                <w:sz w:val="20"/>
                <w:szCs w:val="20"/>
              </w:rPr>
              <w:t>14837</w:t>
            </w:r>
          </w:p>
        </w:tc>
        <w:tc>
          <w:tcPr>
            <w:tcW w:w="1650" w:type="dxa"/>
            <w:tcBorders>
              <w:top w:val="single" w:sz="8" w:space="0" w:color="000000"/>
              <w:bottom w:val="single" w:sz="8" w:space="0" w:color="000000"/>
            </w:tcBorders>
            <w:shd w:val="clear" w:color="auto" w:fill="auto"/>
            <w:tcMar>
              <w:top w:w="72" w:type="dxa"/>
              <w:left w:w="144" w:type="dxa"/>
              <w:bottom w:w="72" w:type="dxa"/>
              <w:right w:w="144" w:type="dxa"/>
            </w:tcMar>
          </w:tcPr>
          <w:p w:rsidR="000E149A" w:rsidRPr="00D91D81" w:rsidRDefault="000E149A" w:rsidP="00264B74">
            <w:pPr>
              <w:jc w:val="center"/>
              <w:rPr>
                <w:sz w:val="20"/>
                <w:szCs w:val="20"/>
              </w:rPr>
            </w:pPr>
            <w:r w:rsidRPr="00D91D81">
              <w:rPr>
                <w:sz w:val="20"/>
                <w:szCs w:val="20"/>
              </w:rPr>
              <w:t>6242</w:t>
            </w:r>
          </w:p>
        </w:tc>
      </w:tr>
    </w:tbl>
    <w:p w:rsidR="00CE4D17" w:rsidRDefault="00CE4D17" w:rsidP="00CE4D17">
      <w:pPr>
        <w:jc w:val="both"/>
        <w:rPr>
          <w:b/>
          <w:lang w:val="en-US"/>
        </w:rPr>
      </w:pPr>
    </w:p>
    <w:p w:rsidR="00206351" w:rsidRPr="00CE4D17" w:rsidRDefault="00CE4D17" w:rsidP="00CE4D17">
      <w:pPr>
        <w:ind w:left="-1418"/>
        <w:jc w:val="both"/>
        <w:rPr>
          <w:sz w:val="20"/>
          <w:szCs w:val="20"/>
        </w:rPr>
      </w:pPr>
      <w:r w:rsidRPr="00CE4D17">
        <w:rPr>
          <w:sz w:val="20"/>
          <w:szCs w:val="20"/>
        </w:rPr>
        <w:t>Notes:  Marginal effects with associated standard errors in parentheses from probit models.</w:t>
      </w:r>
    </w:p>
    <w:p w:rsidR="00206351" w:rsidRDefault="00206351" w:rsidP="00206351"/>
    <w:p w:rsidR="00206351" w:rsidRPr="000B5E51" w:rsidRDefault="000B5E51" w:rsidP="000B5E51">
      <w:pPr>
        <w:jc w:val="center"/>
        <w:rPr>
          <w:b/>
          <w:lang w:val="en-US"/>
        </w:rPr>
      </w:pPr>
      <w:r>
        <w:rPr>
          <w:lang w:val="en-US"/>
        </w:rPr>
        <w:br w:type="page"/>
      </w:r>
      <w:r w:rsidR="00206351" w:rsidRPr="000B5E51">
        <w:rPr>
          <w:b/>
          <w:lang w:val="en-US"/>
        </w:rPr>
        <w:lastRenderedPageBreak/>
        <w:t xml:space="preserve">Table 4. Conditional Models of </w:t>
      </w:r>
      <w:r w:rsidR="000A0D22">
        <w:rPr>
          <w:b/>
          <w:lang w:val="en-US"/>
        </w:rPr>
        <w:t xml:space="preserve">the Probability of </w:t>
      </w:r>
      <w:r w:rsidR="00C50B7C">
        <w:rPr>
          <w:b/>
          <w:lang w:val="en-US"/>
        </w:rPr>
        <w:t>Moving House f</w:t>
      </w:r>
      <w:r w:rsidR="00206351" w:rsidRPr="000B5E51">
        <w:rPr>
          <w:b/>
          <w:lang w:val="en-US"/>
        </w:rPr>
        <w:t>or Children’s Education in the Millennium Cohort Study Moving</w:t>
      </w:r>
    </w:p>
    <w:p w:rsidR="000B5E51" w:rsidRDefault="000B5E51" w:rsidP="00206351">
      <w:pPr>
        <w:rPr>
          <w:lang w:val="en-US"/>
        </w:rPr>
      </w:pPr>
    </w:p>
    <w:tbl>
      <w:tblPr>
        <w:tblW w:w="10237" w:type="dxa"/>
        <w:jc w:val="center"/>
        <w:tblCellMar>
          <w:left w:w="0" w:type="dxa"/>
          <w:right w:w="0" w:type="dxa"/>
        </w:tblCellMar>
        <w:tblLook w:val="04A0"/>
      </w:tblPr>
      <w:tblGrid>
        <w:gridCol w:w="1651"/>
        <w:gridCol w:w="1546"/>
        <w:gridCol w:w="1430"/>
        <w:gridCol w:w="1513"/>
        <w:gridCol w:w="1320"/>
        <w:gridCol w:w="1457"/>
        <w:gridCol w:w="1320"/>
      </w:tblGrid>
      <w:tr w:rsidR="000B5E51" w:rsidRPr="00BE07CF">
        <w:trPr>
          <w:trHeight w:val="431"/>
          <w:jc w:val="center"/>
        </w:trPr>
        <w:tc>
          <w:tcPr>
            <w:tcW w:w="1651"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rPr>
                <w:sz w:val="20"/>
                <w:szCs w:val="20"/>
              </w:rPr>
            </w:pPr>
          </w:p>
        </w:tc>
        <w:tc>
          <w:tcPr>
            <w:tcW w:w="4489" w:type="dxa"/>
            <w:gridSpan w:val="3"/>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A1783A" w:rsidP="00264B74">
            <w:pPr>
              <w:jc w:val="center"/>
              <w:rPr>
                <w:sz w:val="20"/>
                <w:szCs w:val="20"/>
              </w:rPr>
            </w:pPr>
            <w:r>
              <w:rPr>
                <w:sz w:val="20"/>
                <w:szCs w:val="20"/>
              </w:rPr>
              <w:t>Sweep</w:t>
            </w:r>
            <w:r w:rsidR="000B5E51" w:rsidRPr="00D91D81">
              <w:rPr>
                <w:sz w:val="20"/>
                <w:szCs w:val="20"/>
              </w:rPr>
              <w:t xml:space="preserve"> 1-2</w:t>
            </w:r>
          </w:p>
        </w:tc>
        <w:tc>
          <w:tcPr>
            <w:tcW w:w="4097" w:type="dxa"/>
            <w:gridSpan w:val="3"/>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A1783A" w:rsidP="00264B74">
            <w:pPr>
              <w:jc w:val="center"/>
              <w:rPr>
                <w:sz w:val="20"/>
                <w:szCs w:val="20"/>
              </w:rPr>
            </w:pPr>
            <w:r>
              <w:rPr>
                <w:sz w:val="20"/>
                <w:szCs w:val="20"/>
              </w:rPr>
              <w:t>Sweep</w:t>
            </w:r>
            <w:r w:rsidR="000B5E51" w:rsidRPr="00D91D81">
              <w:rPr>
                <w:sz w:val="20"/>
                <w:szCs w:val="20"/>
              </w:rPr>
              <w:t xml:space="preserve"> 2-3</w:t>
            </w:r>
          </w:p>
        </w:tc>
      </w:tr>
      <w:tr w:rsidR="000B5E51" w:rsidRPr="00BE07CF">
        <w:trPr>
          <w:trHeight w:val="563"/>
          <w:jc w:val="center"/>
        </w:trPr>
        <w:tc>
          <w:tcPr>
            <w:tcW w:w="1651"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rPr>
                <w:sz w:val="20"/>
                <w:szCs w:val="20"/>
              </w:rPr>
            </w:pPr>
            <w:r w:rsidRPr="00D91D81">
              <w:rPr>
                <w:sz w:val="20"/>
                <w:szCs w:val="20"/>
              </w:rPr>
              <w:t>(t-1) dated independent variables</w:t>
            </w:r>
          </w:p>
        </w:tc>
        <w:tc>
          <w:tcPr>
            <w:tcW w:w="1546"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All, Survey</w:t>
            </w:r>
          </w:p>
        </w:tc>
        <w:tc>
          <w:tcPr>
            <w:tcW w:w="1430"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All, Postcode</w:t>
            </w:r>
          </w:p>
        </w:tc>
        <w:tc>
          <w:tcPr>
            <w:tcW w:w="1513"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961374" w:rsidP="00961374">
            <w:pPr>
              <w:jc w:val="center"/>
              <w:rPr>
                <w:sz w:val="20"/>
                <w:szCs w:val="20"/>
              </w:rPr>
            </w:pPr>
            <w:r>
              <w:rPr>
                <w:sz w:val="20"/>
                <w:szCs w:val="20"/>
              </w:rPr>
              <w:t>No O</w:t>
            </w:r>
            <w:r w:rsidR="000B5E51" w:rsidRPr="00D91D81">
              <w:rPr>
                <w:sz w:val="20"/>
                <w:szCs w:val="20"/>
              </w:rPr>
              <w:t xml:space="preserve">lder </w:t>
            </w:r>
            <w:r>
              <w:rPr>
                <w:sz w:val="20"/>
                <w:szCs w:val="20"/>
              </w:rPr>
              <w:t>S</w:t>
            </w:r>
            <w:r w:rsidR="000B5E51" w:rsidRPr="00D91D81">
              <w:rPr>
                <w:sz w:val="20"/>
                <w:szCs w:val="20"/>
              </w:rPr>
              <w:t>ibling, Survey</w:t>
            </w:r>
          </w:p>
        </w:tc>
        <w:tc>
          <w:tcPr>
            <w:tcW w:w="1320"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All, Survey</w:t>
            </w:r>
          </w:p>
        </w:tc>
        <w:tc>
          <w:tcPr>
            <w:tcW w:w="1457"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All, Postcode</w:t>
            </w:r>
          </w:p>
        </w:tc>
        <w:tc>
          <w:tcPr>
            <w:tcW w:w="1320"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961374">
            <w:pPr>
              <w:jc w:val="center"/>
              <w:rPr>
                <w:sz w:val="20"/>
                <w:szCs w:val="20"/>
              </w:rPr>
            </w:pPr>
            <w:r w:rsidRPr="00D91D81">
              <w:rPr>
                <w:sz w:val="20"/>
                <w:szCs w:val="20"/>
              </w:rPr>
              <w:t xml:space="preserve">No </w:t>
            </w:r>
            <w:r w:rsidR="00961374">
              <w:rPr>
                <w:sz w:val="20"/>
                <w:szCs w:val="20"/>
              </w:rPr>
              <w:t>O</w:t>
            </w:r>
            <w:r w:rsidRPr="00D91D81">
              <w:rPr>
                <w:sz w:val="20"/>
                <w:szCs w:val="20"/>
              </w:rPr>
              <w:t xml:space="preserve">lder </w:t>
            </w:r>
            <w:r w:rsidR="00961374">
              <w:rPr>
                <w:sz w:val="20"/>
                <w:szCs w:val="20"/>
              </w:rPr>
              <w:t>S</w:t>
            </w:r>
            <w:r w:rsidRPr="00D91D81">
              <w:rPr>
                <w:sz w:val="20"/>
                <w:szCs w:val="20"/>
              </w:rPr>
              <w:t>ibling, Survey</w:t>
            </w:r>
          </w:p>
        </w:tc>
      </w:tr>
      <w:tr w:rsidR="000B5E51" w:rsidRPr="00BE07CF">
        <w:trPr>
          <w:trHeight w:val="450"/>
          <w:jc w:val="center"/>
        </w:trPr>
        <w:tc>
          <w:tcPr>
            <w:tcW w:w="1651" w:type="dxa"/>
            <w:tcBorders>
              <w:top w:val="single" w:sz="8" w:space="0" w:color="000000"/>
            </w:tcBorders>
            <w:shd w:val="clear" w:color="auto" w:fill="auto"/>
            <w:tcMar>
              <w:top w:w="72" w:type="dxa"/>
              <w:left w:w="144" w:type="dxa"/>
              <w:bottom w:w="72" w:type="dxa"/>
              <w:right w:w="144" w:type="dxa"/>
            </w:tcMar>
          </w:tcPr>
          <w:p w:rsidR="000B5E51" w:rsidRPr="00D91D81" w:rsidRDefault="000B5E51" w:rsidP="00264B74">
            <w:pPr>
              <w:rPr>
                <w:sz w:val="20"/>
                <w:szCs w:val="20"/>
              </w:rPr>
            </w:pPr>
            <w:r w:rsidRPr="00D91D81">
              <w:rPr>
                <w:sz w:val="20"/>
                <w:szCs w:val="20"/>
              </w:rPr>
              <w:t>Age</w:t>
            </w:r>
          </w:p>
        </w:tc>
        <w:tc>
          <w:tcPr>
            <w:tcW w:w="1546" w:type="dxa"/>
            <w:tcBorders>
              <w:top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.002 (.001)</w:t>
            </w:r>
          </w:p>
        </w:tc>
        <w:tc>
          <w:tcPr>
            <w:tcW w:w="1430" w:type="dxa"/>
            <w:tcBorders>
              <w:top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.002 (.001)</w:t>
            </w:r>
          </w:p>
        </w:tc>
        <w:tc>
          <w:tcPr>
            <w:tcW w:w="1513" w:type="dxa"/>
            <w:tcBorders>
              <w:top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.004(.002)</w:t>
            </w:r>
          </w:p>
        </w:tc>
        <w:tc>
          <w:tcPr>
            <w:tcW w:w="1320" w:type="dxa"/>
            <w:tcBorders>
              <w:top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.003(.002)</w:t>
            </w:r>
          </w:p>
        </w:tc>
        <w:tc>
          <w:tcPr>
            <w:tcW w:w="1457" w:type="dxa"/>
            <w:tcBorders>
              <w:top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.003(.001)</w:t>
            </w:r>
          </w:p>
        </w:tc>
        <w:tc>
          <w:tcPr>
            <w:tcW w:w="1320" w:type="dxa"/>
            <w:tcBorders>
              <w:top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.007 (.003)</w:t>
            </w:r>
          </w:p>
        </w:tc>
      </w:tr>
      <w:tr w:rsidR="000B5E51" w:rsidRPr="00BE07CF">
        <w:trPr>
          <w:trHeight w:val="450"/>
          <w:jc w:val="center"/>
        </w:trPr>
        <w:tc>
          <w:tcPr>
            <w:tcW w:w="1651" w:type="dxa"/>
            <w:shd w:val="clear" w:color="auto" w:fill="auto"/>
            <w:tcMar>
              <w:top w:w="72" w:type="dxa"/>
              <w:left w:w="144" w:type="dxa"/>
              <w:bottom w:w="72" w:type="dxa"/>
              <w:right w:w="144" w:type="dxa"/>
            </w:tcMar>
          </w:tcPr>
          <w:p w:rsidR="000B5E51" w:rsidRPr="00D91D81" w:rsidRDefault="000B5E51" w:rsidP="00264B74">
            <w:pPr>
              <w:rPr>
                <w:sz w:val="20"/>
                <w:szCs w:val="20"/>
              </w:rPr>
            </w:pPr>
            <w:r w:rsidRPr="00D91D81">
              <w:rPr>
                <w:sz w:val="20"/>
                <w:szCs w:val="20"/>
              </w:rPr>
              <w:t>Teenage mother</w:t>
            </w:r>
          </w:p>
        </w:tc>
        <w:tc>
          <w:tcPr>
            <w:tcW w:w="1546"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-.012 (.023)</w:t>
            </w:r>
          </w:p>
        </w:tc>
        <w:tc>
          <w:tcPr>
            <w:tcW w:w="143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-.014 (.020)</w:t>
            </w:r>
          </w:p>
        </w:tc>
        <w:tc>
          <w:tcPr>
            <w:tcW w:w="1513"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-.009 (.025)</w:t>
            </w:r>
          </w:p>
        </w:tc>
        <w:tc>
          <w:tcPr>
            <w:tcW w:w="132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-.044 (.030)</w:t>
            </w:r>
          </w:p>
        </w:tc>
        <w:tc>
          <w:tcPr>
            <w:tcW w:w="1457"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-.026 (.022)</w:t>
            </w:r>
          </w:p>
        </w:tc>
        <w:tc>
          <w:tcPr>
            <w:tcW w:w="132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-.073 (.034)</w:t>
            </w:r>
          </w:p>
        </w:tc>
      </w:tr>
      <w:tr w:rsidR="000B5E51" w:rsidRPr="00BE07CF">
        <w:trPr>
          <w:trHeight w:val="450"/>
          <w:jc w:val="center"/>
        </w:trPr>
        <w:tc>
          <w:tcPr>
            <w:tcW w:w="1651" w:type="dxa"/>
            <w:shd w:val="clear" w:color="auto" w:fill="auto"/>
            <w:tcMar>
              <w:top w:w="72" w:type="dxa"/>
              <w:left w:w="144" w:type="dxa"/>
              <w:bottom w:w="72" w:type="dxa"/>
              <w:right w:w="144" w:type="dxa"/>
            </w:tcMar>
          </w:tcPr>
          <w:p w:rsidR="000B5E51" w:rsidRPr="00D91D81" w:rsidRDefault="000B5E51" w:rsidP="00264B74">
            <w:pPr>
              <w:rPr>
                <w:sz w:val="20"/>
                <w:szCs w:val="20"/>
              </w:rPr>
            </w:pPr>
            <w:r w:rsidRPr="00D91D81">
              <w:rPr>
                <w:sz w:val="20"/>
                <w:szCs w:val="20"/>
              </w:rPr>
              <w:t>Log(income)</w:t>
            </w:r>
          </w:p>
        </w:tc>
        <w:tc>
          <w:tcPr>
            <w:tcW w:w="1546"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.015(.010)</w:t>
            </w:r>
          </w:p>
        </w:tc>
        <w:tc>
          <w:tcPr>
            <w:tcW w:w="143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.014 (.009)</w:t>
            </w:r>
          </w:p>
        </w:tc>
        <w:tc>
          <w:tcPr>
            <w:tcW w:w="1513"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-.006 (.013)</w:t>
            </w:r>
          </w:p>
        </w:tc>
        <w:tc>
          <w:tcPr>
            <w:tcW w:w="132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.030 (.014)</w:t>
            </w:r>
          </w:p>
        </w:tc>
        <w:tc>
          <w:tcPr>
            <w:tcW w:w="1457"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.022 (.010)</w:t>
            </w:r>
          </w:p>
        </w:tc>
        <w:tc>
          <w:tcPr>
            <w:tcW w:w="132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.014 (.020)</w:t>
            </w:r>
          </w:p>
        </w:tc>
      </w:tr>
      <w:tr w:rsidR="000B5E51" w:rsidRPr="00BE07CF">
        <w:trPr>
          <w:trHeight w:val="450"/>
          <w:jc w:val="center"/>
        </w:trPr>
        <w:tc>
          <w:tcPr>
            <w:tcW w:w="1651" w:type="dxa"/>
            <w:shd w:val="clear" w:color="auto" w:fill="auto"/>
            <w:tcMar>
              <w:top w:w="72" w:type="dxa"/>
              <w:left w:w="144" w:type="dxa"/>
              <w:bottom w:w="72" w:type="dxa"/>
              <w:right w:w="144" w:type="dxa"/>
            </w:tcMar>
          </w:tcPr>
          <w:p w:rsidR="000B5E51" w:rsidRPr="00D91D81" w:rsidRDefault="000B5E51" w:rsidP="00264B74">
            <w:pPr>
              <w:rPr>
                <w:sz w:val="20"/>
                <w:szCs w:val="20"/>
              </w:rPr>
            </w:pPr>
            <w:r w:rsidRPr="00D91D81">
              <w:rPr>
                <w:sz w:val="20"/>
                <w:szCs w:val="20"/>
              </w:rPr>
              <w:t>Lone parent</w:t>
            </w:r>
          </w:p>
        </w:tc>
        <w:tc>
          <w:tcPr>
            <w:tcW w:w="1546"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-.054 (.014)</w:t>
            </w:r>
          </w:p>
        </w:tc>
        <w:tc>
          <w:tcPr>
            <w:tcW w:w="143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-.048 (.013)</w:t>
            </w:r>
          </w:p>
        </w:tc>
        <w:tc>
          <w:tcPr>
            <w:tcW w:w="1513"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-.043 (.016)</w:t>
            </w:r>
          </w:p>
        </w:tc>
        <w:tc>
          <w:tcPr>
            <w:tcW w:w="132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-.030 (.033)</w:t>
            </w:r>
          </w:p>
        </w:tc>
        <w:tc>
          <w:tcPr>
            <w:tcW w:w="1457"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-.030 (.023)</w:t>
            </w:r>
          </w:p>
        </w:tc>
        <w:tc>
          <w:tcPr>
            <w:tcW w:w="132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-.052 (.035)</w:t>
            </w:r>
          </w:p>
        </w:tc>
      </w:tr>
      <w:tr w:rsidR="000B5E51" w:rsidRPr="00BE07CF">
        <w:trPr>
          <w:trHeight w:val="450"/>
          <w:jc w:val="center"/>
        </w:trPr>
        <w:tc>
          <w:tcPr>
            <w:tcW w:w="1651" w:type="dxa"/>
            <w:shd w:val="clear" w:color="auto" w:fill="auto"/>
            <w:tcMar>
              <w:top w:w="72" w:type="dxa"/>
              <w:left w:w="144" w:type="dxa"/>
              <w:bottom w:w="72" w:type="dxa"/>
              <w:right w:w="144" w:type="dxa"/>
            </w:tcMar>
          </w:tcPr>
          <w:p w:rsidR="000B5E51" w:rsidRPr="00D91D81" w:rsidRDefault="000B5E51" w:rsidP="00264B74">
            <w:pPr>
              <w:rPr>
                <w:sz w:val="20"/>
                <w:szCs w:val="20"/>
              </w:rPr>
            </w:pPr>
            <w:r w:rsidRPr="00D91D81">
              <w:rPr>
                <w:sz w:val="20"/>
                <w:szCs w:val="20"/>
              </w:rPr>
              <w:t>5 A*-C GCSEs</w:t>
            </w:r>
          </w:p>
        </w:tc>
        <w:tc>
          <w:tcPr>
            <w:tcW w:w="1546"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.049(.020)</w:t>
            </w:r>
          </w:p>
        </w:tc>
        <w:tc>
          <w:tcPr>
            <w:tcW w:w="143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.045 (.019)</w:t>
            </w:r>
          </w:p>
        </w:tc>
        <w:tc>
          <w:tcPr>
            <w:tcW w:w="1513"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.018 (.028)</w:t>
            </w:r>
          </w:p>
        </w:tc>
        <w:tc>
          <w:tcPr>
            <w:tcW w:w="132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.016 (.029)</w:t>
            </w:r>
          </w:p>
        </w:tc>
        <w:tc>
          <w:tcPr>
            <w:tcW w:w="1457"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.021 (.021)</w:t>
            </w:r>
          </w:p>
        </w:tc>
        <w:tc>
          <w:tcPr>
            <w:tcW w:w="132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-.047 (.038)</w:t>
            </w:r>
          </w:p>
        </w:tc>
      </w:tr>
      <w:tr w:rsidR="000B5E51" w:rsidRPr="00BE07CF">
        <w:trPr>
          <w:trHeight w:val="450"/>
          <w:jc w:val="center"/>
        </w:trPr>
        <w:tc>
          <w:tcPr>
            <w:tcW w:w="1651" w:type="dxa"/>
            <w:shd w:val="clear" w:color="auto" w:fill="auto"/>
            <w:tcMar>
              <w:top w:w="72" w:type="dxa"/>
              <w:left w:w="144" w:type="dxa"/>
              <w:bottom w:w="72" w:type="dxa"/>
              <w:right w:w="144" w:type="dxa"/>
            </w:tcMar>
          </w:tcPr>
          <w:p w:rsidR="000B5E51" w:rsidRPr="00D91D81" w:rsidRDefault="000B5E51" w:rsidP="00264B74">
            <w:pPr>
              <w:rPr>
                <w:sz w:val="20"/>
                <w:szCs w:val="20"/>
              </w:rPr>
            </w:pPr>
            <w:r w:rsidRPr="00D91D81">
              <w:rPr>
                <w:sz w:val="20"/>
                <w:szCs w:val="20"/>
              </w:rPr>
              <w:t>A-levels</w:t>
            </w:r>
          </w:p>
        </w:tc>
        <w:tc>
          <w:tcPr>
            <w:tcW w:w="1546"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.072 (.028)</w:t>
            </w:r>
          </w:p>
        </w:tc>
        <w:tc>
          <w:tcPr>
            <w:tcW w:w="143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.066 (.026)</w:t>
            </w:r>
          </w:p>
        </w:tc>
        <w:tc>
          <w:tcPr>
            <w:tcW w:w="1513"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.045 (.036)</w:t>
            </w:r>
          </w:p>
        </w:tc>
        <w:tc>
          <w:tcPr>
            <w:tcW w:w="132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.064 (.035)</w:t>
            </w:r>
          </w:p>
        </w:tc>
        <w:tc>
          <w:tcPr>
            <w:tcW w:w="1457"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.050 (.027)</w:t>
            </w:r>
          </w:p>
        </w:tc>
        <w:tc>
          <w:tcPr>
            <w:tcW w:w="132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.006 (.044)</w:t>
            </w:r>
          </w:p>
        </w:tc>
      </w:tr>
      <w:tr w:rsidR="000B5E51" w:rsidRPr="00BE07CF">
        <w:trPr>
          <w:trHeight w:val="450"/>
          <w:jc w:val="center"/>
        </w:trPr>
        <w:tc>
          <w:tcPr>
            <w:tcW w:w="1651" w:type="dxa"/>
            <w:shd w:val="clear" w:color="auto" w:fill="auto"/>
            <w:tcMar>
              <w:top w:w="72" w:type="dxa"/>
              <w:left w:w="144" w:type="dxa"/>
              <w:bottom w:w="72" w:type="dxa"/>
              <w:right w:w="144" w:type="dxa"/>
            </w:tcMar>
          </w:tcPr>
          <w:p w:rsidR="000B5E51" w:rsidRPr="00D91D81" w:rsidRDefault="000B5E51" w:rsidP="00264B74">
            <w:pPr>
              <w:rPr>
                <w:sz w:val="20"/>
                <w:szCs w:val="20"/>
              </w:rPr>
            </w:pPr>
            <w:r w:rsidRPr="00D91D81">
              <w:rPr>
                <w:sz w:val="20"/>
                <w:szCs w:val="20"/>
              </w:rPr>
              <w:t>Degree +</w:t>
            </w:r>
          </w:p>
        </w:tc>
        <w:tc>
          <w:tcPr>
            <w:tcW w:w="1546"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.076 (.021)</w:t>
            </w:r>
          </w:p>
        </w:tc>
        <w:tc>
          <w:tcPr>
            <w:tcW w:w="143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.067 (.020)</w:t>
            </w:r>
          </w:p>
        </w:tc>
        <w:tc>
          <w:tcPr>
            <w:tcW w:w="1513"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.037 (.028)</w:t>
            </w:r>
          </w:p>
        </w:tc>
        <w:tc>
          <w:tcPr>
            <w:tcW w:w="132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.081 (.030)</w:t>
            </w:r>
          </w:p>
        </w:tc>
        <w:tc>
          <w:tcPr>
            <w:tcW w:w="1457"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.054 (.021)</w:t>
            </w:r>
          </w:p>
        </w:tc>
        <w:tc>
          <w:tcPr>
            <w:tcW w:w="132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.023 (.045)</w:t>
            </w:r>
          </w:p>
        </w:tc>
      </w:tr>
      <w:tr w:rsidR="000B5E51" w:rsidRPr="00BE07CF">
        <w:trPr>
          <w:trHeight w:val="450"/>
          <w:jc w:val="center"/>
        </w:trPr>
        <w:tc>
          <w:tcPr>
            <w:tcW w:w="1651" w:type="dxa"/>
            <w:shd w:val="clear" w:color="auto" w:fill="auto"/>
            <w:tcMar>
              <w:top w:w="72" w:type="dxa"/>
              <w:left w:w="144" w:type="dxa"/>
              <w:bottom w:w="72" w:type="dxa"/>
              <w:right w:w="144" w:type="dxa"/>
            </w:tcMar>
          </w:tcPr>
          <w:p w:rsidR="000B5E51" w:rsidRPr="00D91D81" w:rsidRDefault="000B5E51" w:rsidP="00264B74">
            <w:pPr>
              <w:rPr>
                <w:sz w:val="20"/>
                <w:szCs w:val="20"/>
              </w:rPr>
            </w:pPr>
            <w:r w:rsidRPr="00D91D81">
              <w:rPr>
                <w:sz w:val="20"/>
                <w:szCs w:val="20"/>
              </w:rPr>
              <w:t>Social housing</w:t>
            </w:r>
          </w:p>
        </w:tc>
        <w:tc>
          <w:tcPr>
            <w:tcW w:w="1546"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-.045 (.015)</w:t>
            </w:r>
          </w:p>
        </w:tc>
        <w:tc>
          <w:tcPr>
            <w:tcW w:w="143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-.042 (.014)</w:t>
            </w:r>
          </w:p>
        </w:tc>
        <w:tc>
          <w:tcPr>
            <w:tcW w:w="1513"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-.077 (.015)</w:t>
            </w:r>
          </w:p>
        </w:tc>
        <w:tc>
          <w:tcPr>
            <w:tcW w:w="132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-.075 (.025)</w:t>
            </w:r>
          </w:p>
        </w:tc>
        <w:tc>
          <w:tcPr>
            <w:tcW w:w="1457"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-.049 (.019)</w:t>
            </w:r>
          </w:p>
        </w:tc>
        <w:tc>
          <w:tcPr>
            <w:tcW w:w="132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-.047 (.040)</w:t>
            </w:r>
          </w:p>
        </w:tc>
      </w:tr>
      <w:tr w:rsidR="000B5E51" w:rsidRPr="00BE07CF">
        <w:trPr>
          <w:trHeight w:val="450"/>
          <w:jc w:val="center"/>
        </w:trPr>
        <w:tc>
          <w:tcPr>
            <w:tcW w:w="1651" w:type="dxa"/>
            <w:shd w:val="clear" w:color="auto" w:fill="auto"/>
            <w:tcMar>
              <w:top w:w="72" w:type="dxa"/>
              <w:left w:w="144" w:type="dxa"/>
              <w:bottom w:w="72" w:type="dxa"/>
              <w:right w:w="144" w:type="dxa"/>
            </w:tcMar>
          </w:tcPr>
          <w:p w:rsidR="000B5E51" w:rsidRPr="00D91D81" w:rsidRDefault="000B5E51" w:rsidP="00264B74">
            <w:pPr>
              <w:rPr>
                <w:sz w:val="20"/>
                <w:szCs w:val="20"/>
              </w:rPr>
            </w:pPr>
            <w:r w:rsidRPr="00D91D81">
              <w:rPr>
                <w:sz w:val="20"/>
                <w:szCs w:val="20"/>
              </w:rPr>
              <w:t>Private rental</w:t>
            </w:r>
          </w:p>
        </w:tc>
        <w:tc>
          <w:tcPr>
            <w:tcW w:w="1546"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-.047 (.013)</w:t>
            </w:r>
          </w:p>
        </w:tc>
        <w:tc>
          <w:tcPr>
            <w:tcW w:w="143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-.041 (.013)</w:t>
            </w:r>
          </w:p>
        </w:tc>
        <w:tc>
          <w:tcPr>
            <w:tcW w:w="1513"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-.084 (.012)</w:t>
            </w:r>
          </w:p>
        </w:tc>
        <w:tc>
          <w:tcPr>
            <w:tcW w:w="132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-.000 (.034)</w:t>
            </w:r>
          </w:p>
        </w:tc>
        <w:tc>
          <w:tcPr>
            <w:tcW w:w="1457"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.008 (.025)</w:t>
            </w:r>
          </w:p>
        </w:tc>
        <w:tc>
          <w:tcPr>
            <w:tcW w:w="1320" w:type="dxa"/>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-.003 (.041)</w:t>
            </w:r>
          </w:p>
        </w:tc>
      </w:tr>
      <w:tr w:rsidR="000B5E51" w:rsidRPr="00BE07CF">
        <w:trPr>
          <w:trHeight w:val="450"/>
          <w:jc w:val="center"/>
        </w:trPr>
        <w:tc>
          <w:tcPr>
            <w:tcW w:w="1651" w:type="dxa"/>
            <w:tcBorders>
              <w:bottom w:val="single" w:sz="8" w:space="0" w:color="000000"/>
            </w:tcBorders>
            <w:shd w:val="clear" w:color="auto" w:fill="auto"/>
            <w:tcMar>
              <w:top w:w="72" w:type="dxa"/>
              <w:left w:w="144" w:type="dxa"/>
              <w:bottom w:w="72" w:type="dxa"/>
              <w:right w:w="144" w:type="dxa"/>
            </w:tcMar>
          </w:tcPr>
          <w:p w:rsidR="000B5E51" w:rsidRDefault="000B5E51" w:rsidP="00264B74">
            <w:pPr>
              <w:rPr>
                <w:sz w:val="20"/>
                <w:szCs w:val="20"/>
              </w:rPr>
            </w:pPr>
            <w:r w:rsidRPr="00D91D81">
              <w:rPr>
                <w:sz w:val="20"/>
                <w:szCs w:val="20"/>
              </w:rPr>
              <w:t>Live with parents</w:t>
            </w:r>
          </w:p>
          <w:p w:rsidR="00EA09B0" w:rsidRPr="00D91D81" w:rsidRDefault="00EA09B0" w:rsidP="00264B74">
            <w:pPr>
              <w:rPr>
                <w:sz w:val="20"/>
                <w:szCs w:val="20"/>
              </w:rPr>
            </w:pPr>
          </w:p>
        </w:tc>
        <w:tc>
          <w:tcPr>
            <w:tcW w:w="1546" w:type="dxa"/>
            <w:tcBorders>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-.035 (.021)</w:t>
            </w:r>
          </w:p>
        </w:tc>
        <w:tc>
          <w:tcPr>
            <w:tcW w:w="1430" w:type="dxa"/>
            <w:tcBorders>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-.031 (.020)</w:t>
            </w:r>
          </w:p>
        </w:tc>
        <w:tc>
          <w:tcPr>
            <w:tcW w:w="1513" w:type="dxa"/>
            <w:tcBorders>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-.062 (.020)</w:t>
            </w:r>
          </w:p>
        </w:tc>
        <w:tc>
          <w:tcPr>
            <w:tcW w:w="1320" w:type="dxa"/>
            <w:tcBorders>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-.028 (.057)</w:t>
            </w:r>
          </w:p>
        </w:tc>
        <w:tc>
          <w:tcPr>
            <w:tcW w:w="1457" w:type="dxa"/>
            <w:tcBorders>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.002 (.049)</w:t>
            </w:r>
          </w:p>
        </w:tc>
        <w:tc>
          <w:tcPr>
            <w:tcW w:w="1320" w:type="dxa"/>
            <w:tcBorders>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-.007 (.070)</w:t>
            </w:r>
          </w:p>
        </w:tc>
      </w:tr>
      <w:tr w:rsidR="000B5E51" w:rsidRPr="00BE07CF">
        <w:trPr>
          <w:trHeight w:val="843"/>
          <w:jc w:val="center"/>
        </w:trPr>
        <w:tc>
          <w:tcPr>
            <w:tcW w:w="1651"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rPr>
                <w:sz w:val="20"/>
                <w:szCs w:val="20"/>
              </w:rPr>
            </w:pPr>
            <w:r w:rsidRPr="00D91D81">
              <w:rPr>
                <w:sz w:val="20"/>
                <w:szCs w:val="20"/>
              </w:rPr>
              <w:t>Controls for gender, ethnicity, region</w:t>
            </w:r>
          </w:p>
        </w:tc>
        <w:tc>
          <w:tcPr>
            <w:tcW w:w="1546"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Yes</w:t>
            </w:r>
          </w:p>
        </w:tc>
        <w:tc>
          <w:tcPr>
            <w:tcW w:w="1430"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Yes</w:t>
            </w:r>
          </w:p>
        </w:tc>
        <w:tc>
          <w:tcPr>
            <w:tcW w:w="1513"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Yes</w:t>
            </w:r>
          </w:p>
        </w:tc>
        <w:tc>
          <w:tcPr>
            <w:tcW w:w="1320"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Yes</w:t>
            </w:r>
          </w:p>
        </w:tc>
        <w:tc>
          <w:tcPr>
            <w:tcW w:w="1457"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Yes</w:t>
            </w:r>
          </w:p>
        </w:tc>
        <w:tc>
          <w:tcPr>
            <w:tcW w:w="1320"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Yes</w:t>
            </w:r>
          </w:p>
        </w:tc>
      </w:tr>
      <w:tr w:rsidR="000B5E51" w:rsidRPr="00BE07CF">
        <w:trPr>
          <w:trHeight w:val="535"/>
          <w:jc w:val="center"/>
        </w:trPr>
        <w:tc>
          <w:tcPr>
            <w:tcW w:w="1651"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rPr>
                <w:sz w:val="20"/>
                <w:szCs w:val="20"/>
              </w:rPr>
            </w:pPr>
            <w:r w:rsidRPr="00D91D81">
              <w:rPr>
                <w:sz w:val="20"/>
                <w:szCs w:val="20"/>
              </w:rPr>
              <w:t>Sample size</w:t>
            </w:r>
          </w:p>
        </w:tc>
        <w:tc>
          <w:tcPr>
            <w:tcW w:w="1546"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4473</w:t>
            </w:r>
          </w:p>
        </w:tc>
        <w:tc>
          <w:tcPr>
            <w:tcW w:w="1430"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4968</w:t>
            </w:r>
          </w:p>
        </w:tc>
        <w:tc>
          <w:tcPr>
            <w:tcW w:w="1513"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2335</w:t>
            </w:r>
          </w:p>
        </w:tc>
        <w:tc>
          <w:tcPr>
            <w:tcW w:w="1320"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2389</w:t>
            </w:r>
          </w:p>
        </w:tc>
        <w:tc>
          <w:tcPr>
            <w:tcW w:w="1457"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3431</w:t>
            </w:r>
          </w:p>
        </w:tc>
        <w:tc>
          <w:tcPr>
            <w:tcW w:w="1320" w:type="dxa"/>
            <w:tcBorders>
              <w:top w:val="single" w:sz="8" w:space="0" w:color="000000"/>
              <w:bottom w:val="single" w:sz="8" w:space="0" w:color="000000"/>
            </w:tcBorders>
            <w:shd w:val="clear" w:color="auto" w:fill="auto"/>
            <w:tcMar>
              <w:top w:w="72" w:type="dxa"/>
              <w:left w:w="144" w:type="dxa"/>
              <w:bottom w:w="72" w:type="dxa"/>
              <w:right w:w="144" w:type="dxa"/>
            </w:tcMar>
          </w:tcPr>
          <w:p w:rsidR="000B5E51" w:rsidRPr="00D91D81" w:rsidRDefault="000B5E51" w:rsidP="00264B74">
            <w:pPr>
              <w:jc w:val="center"/>
              <w:rPr>
                <w:sz w:val="20"/>
                <w:szCs w:val="20"/>
              </w:rPr>
            </w:pPr>
            <w:r w:rsidRPr="00D91D81">
              <w:rPr>
                <w:sz w:val="20"/>
                <w:szCs w:val="20"/>
              </w:rPr>
              <w:t>1222</w:t>
            </w:r>
          </w:p>
        </w:tc>
      </w:tr>
    </w:tbl>
    <w:p w:rsidR="000B5E51" w:rsidRDefault="000B5E51" w:rsidP="00206351">
      <w:pPr>
        <w:rPr>
          <w:lang w:val="en-US"/>
        </w:rPr>
      </w:pPr>
    </w:p>
    <w:p w:rsidR="00CE4D17" w:rsidRPr="00CE4D17" w:rsidRDefault="00CE4D17" w:rsidP="00861B0B">
      <w:pPr>
        <w:ind w:left="-907"/>
        <w:jc w:val="both"/>
        <w:rPr>
          <w:sz w:val="20"/>
          <w:szCs w:val="20"/>
        </w:rPr>
      </w:pPr>
      <w:r w:rsidRPr="00CE4D17">
        <w:rPr>
          <w:sz w:val="20"/>
          <w:szCs w:val="20"/>
        </w:rPr>
        <w:t xml:space="preserve">Notes:  Marginal effects with associated standard errors in parentheses from </w:t>
      </w:r>
      <w:r>
        <w:rPr>
          <w:sz w:val="20"/>
          <w:szCs w:val="20"/>
        </w:rPr>
        <w:t xml:space="preserve">conditional </w:t>
      </w:r>
      <w:r w:rsidRPr="00CE4D17">
        <w:rPr>
          <w:sz w:val="20"/>
          <w:szCs w:val="20"/>
        </w:rPr>
        <w:t>probit models.</w:t>
      </w:r>
    </w:p>
    <w:p w:rsidR="00CE4D17" w:rsidRDefault="00CE4D17" w:rsidP="00CE4D17"/>
    <w:p w:rsidR="00206351" w:rsidRDefault="00206351" w:rsidP="00206351"/>
    <w:p w:rsidR="00206351" w:rsidRPr="00006561" w:rsidRDefault="000B5E51" w:rsidP="00006561">
      <w:pPr>
        <w:jc w:val="center"/>
        <w:rPr>
          <w:b/>
          <w:lang w:val="en-US"/>
        </w:rPr>
      </w:pPr>
      <w:r>
        <w:rPr>
          <w:lang w:val="en-US"/>
        </w:rPr>
        <w:br w:type="page"/>
      </w:r>
      <w:r w:rsidR="00206351" w:rsidRPr="000B5E51">
        <w:rPr>
          <w:b/>
          <w:lang w:val="en-US"/>
        </w:rPr>
        <w:lastRenderedPageBreak/>
        <w:t xml:space="preserve">Table 5. </w:t>
      </w:r>
      <w:r w:rsidR="00206351" w:rsidRPr="00006561">
        <w:rPr>
          <w:b/>
          <w:lang w:val="en-US"/>
        </w:rPr>
        <w:t xml:space="preserve">Test Score Differences in </w:t>
      </w:r>
      <w:r w:rsidR="000A0D22">
        <w:rPr>
          <w:b/>
          <w:lang w:val="en-US"/>
        </w:rPr>
        <w:t xml:space="preserve">the Probability of </w:t>
      </w:r>
      <w:r w:rsidR="00206351" w:rsidRPr="00006561">
        <w:rPr>
          <w:b/>
          <w:lang w:val="en-US"/>
        </w:rPr>
        <w:t xml:space="preserve">Moving </w:t>
      </w:r>
      <w:r w:rsidR="000A0D22">
        <w:rPr>
          <w:b/>
          <w:lang w:val="en-US"/>
        </w:rPr>
        <w:t xml:space="preserve">House </w:t>
      </w:r>
      <w:r w:rsidR="00C50B7C" w:rsidRPr="00006561">
        <w:rPr>
          <w:b/>
          <w:lang w:val="en-US"/>
        </w:rPr>
        <w:t>for</w:t>
      </w:r>
      <w:r w:rsidR="00206351" w:rsidRPr="00006561">
        <w:rPr>
          <w:b/>
          <w:lang w:val="en-US"/>
        </w:rPr>
        <w:t xml:space="preserve"> Children’s Education in the Millennium Cohort Study</w:t>
      </w:r>
    </w:p>
    <w:p w:rsidR="00006561" w:rsidRDefault="00006561" w:rsidP="00206351">
      <w:pPr>
        <w:rPr>
          <w:lang w:val="en-US"/>
        </w:rPr>
      </w:pPr>
    </w:p>
    <w:tbl>
      <w:tblPr>
        <w:tblW w:w="7624" w:type="dxa"/>
        <w:jc w:val="center"/>
        <w:tblCellMar>
          <w:left w:w="0" w:type="dxa"/>
          <w:right w:w="0" w:type="dxa"/>
        </w:tblCellMar>
        <w:tblLook w:val="04A0"/>
      </w:tblPr>
      <w:tblGrid>
        <w:gridCol w:w="1574"/>
        <w:gridCol w:w="1320"/>
        <w:gridCol w:w="1650"/>
        <w:gridCol w:w="1650"/>
        <w:gridCol w:w="1430"/>
      </w:tblGrid>
      <w:tr w:rsidR="00723165" w:rsidRPr="00BE07CF">
        <w:trPr>
          <w:trHeight w:val="473"/>
          <w:jc w:val="center"/>
        </w:trPr>
        <w:tc>
          <w:tcPr>
            <w:tcW w:w="1574" w:type="dxa"/>
            <w:tcBorders>
              <w:top w:val="single" w:sz="8" w:space="0" w:color="000000"/>
              <w:bottom w:val="single" w:sz="8" w:space="0" w:color="000000"/>
            </w:tcBorders>
            <w:shd w:val="clear" w:color="auto" w:fill="auto"/>
            <w:tcMar>
              <w:top w:w="72" w:type="dxa"/>
              <w:left w:w="144" w:type="dxa"/>
              <w:bottom w:w="72" w:type="dxa"/>
              <w:right w:w="144" w:type="dxa"/>
            </w:tcMar>
          </w:tcPr>
          <w:p w:rsidR="00723165" w:rsidRPr="00743578" w:rsidRDefault="00723165" w:rsidP="00264B74">
            <w:pPr>
              <w:rPr>
                <w:sz w:val="20"/>
                <w:szCs w:val="20"/>
              </w:rPr>
            </w:pPr>
          </w:p>
        </w:tc>
        <w:tc>
          <w:tcPr>
            <w:tcW w:w="6050" w:type="dxa"/>
            <w:gridSpan w:val="4"/>
            <w:tcBorders>
              <w:top w:val="single" w:sz="8" w:space="0" w:color="000000"/>
              <w:bottom w:val="single" w:sz="8" w:space="0" w:color="000000"/>
            </w:tcBorders>
            <w:shd w:val="clear" w:color="auto" w:fill="auto"/>
            <w:tcMar>
              <w:top w:w="72" w:type="dxa"/>
              <w:left w:w="144" w:type="dxa"/>
              <w:bottom w:w="72" w:type="dxa"/>
              <w:right w:w="144" w:type="dxa"/>
            </w:tcMar>
          </w:tcPr>
          <w:p w:rsidR="00723165" w:rsidRDefault="00723165" w:rsidP="00264B74">
            <w:pPr>
              <w:jc w:val="center"/>
              <w:rPr>
                <w:sz w:val="20"/>
                <w:szCs w:val="20"/>
              </w:rPr>
            </w:pPr>
            <w:r>
              <w:rPr>
                <w:sz w:val="20"/>
                <w:szCs w:val="20"/>
              </w:rPr>
              <w:t>Pr[move for child’s education|moving house</w:t>
            </w:r>
            <w:r w:rsidRPr="00743578">
              <w:rPr>
                <w:sz w:val="20"/>
                <w:szCs w:val="20"/>
              </w:rPr>
              <w:t xml:space="preserve"> between </w:t>
            </w:r>
            <w:r w:rsidR="00A1783A">
              <w:rPr>
                <w:sz w:val="20"/>
                <w:szCs w:val="20"/>
              </w:rPr>
              <w:t>sweep</w:t>
            </w:r>
            <w:r w:rsidRPr="00743578">
              <w:rPr>
                <w:sz w:val="20"/>
                <w:szCs w:val="20"/>
              </w:rPr>
              <w:t xml:space="preserve">s], </w:t>
            </w:r>
          </w:p>
          <w:p w:rsidR="00723165" w:rsidRPr="00743578" w:rsidRDefault="00A1783A" w:rsidP="00264B74">
            <w:pPr>
              <w:jc w:val="center"/>
              <w:rPr>
                <w:sz w:val="20"/>
                <w:szCs w:val="20"/>
              </w:rPr>
            </w:pPr>
            <w:r>
              <w:rPr>
                <w:sz w:val="20"/>
                <w:szCs w:val="20"/>
              </w:rPr>
              <w:t>Sweep</w:t>
            </w:r>
            <w:r w:rsidR="00723165" w:rsidRPr="00743578">
              <w:rPr>
                <w:sz w:val="20"/>
                <w:szCs w:val="20"/>
              </w:rPr>
              <w:t>s 2-3</w:t>
            </w:r>
          </w:p>
        </w:tc>
      </w:tr>
      <w:tr w:rsidR="00723165" w:rsidRPr="00BE07CF">
        <w:trPr>
          <w:trHeight w:val="383"/>
          <w:jc w:val="center"/>
        </w:trPr>
        <w:tc>
          <w:tcPr>
            <w:tcW w:w="1574" w:type="dxa"/>
            <w:tcBorders>
              <w:top w:val="single" w:sz="8" w:space="0" w:color="000000"/>
              <w:bottom w:val="single" w:sz="8" w:space="0" w:color="000000"/>
            </w:tcBorders>
            <w:shd w:val="clear" w:color="auto" w:fill="auto"/>
            <w:tcMar>
              <w:top w:w="72" w:type="dxa"/>
              <w:left w:w="144" w:type="dxa"/>
              <w:bottom w:w="72" w:type="dxa"/>
              <w:right w:w="144" w:type="dxa"/>
            </w:tcMar>
          </w:tcPr>
          <w:p w:rsidR="00723165" w:rsidRPr="00743578" w:rsidRDefault="00723165" w:rsidP="00264B74">
            <w:pPr>
              <w:rPr>
                <w:sz w:val="20"/>
                <w:szCs w:val="20"/>
              </w:rPr>
            </w:pPr>
          </w:p>
        </w:tc>
        <w:tc>
          <w:tcPr>
            <w:tcW w:w="2970" w:type="dxa"/>
            <w:gridSpan w:val="2"/>
            <w:tcBorders>
              <w:top w:val="single" w:sz="8" w:space="0" w:color="000000"/>
              <w:bottom w:val="single" w:sz="8" w:space="0" w:color="000000"/>
            </w:tcBorders>
            <w:shd w:val="clear" w:color="auto" w:fill="auto"/>
            <w:tcMar>
              <w:top w:w="72" w:type="dxa"/>
              <w:left w:w="144" w:type="dxa"/>
              <w:bottom w:w="72" w:type="dxa"/>
              <w:right w:w="144" w:type="dxa"/>
            </w:tcMar>
          </w:tcPr>
          <w:p w:rsidR="00723165" w:rsidRPr="00743578" w:rsidRDefault="00723165" w:rsidP="00264B74">
            <w:pPr>
              <w:jc w:val="center"/>
              <w:rPr>
                <w:sz w:val="20"/>
                <w:szCs w:val="20"/>
              </w:rPr>
            </w:pPr>
            <w:r w:rsidRPr="00743578">
              <w:rPr>
                <w:sz w:val="20"/>
                <w:szCs w:val="20"/>
              </w:rPr>
              <w:t>All</w:t>
            </w:r>
          </w:p>
        </w:tc>
        <w:tc>
          <w:tcPr>
            <w:tcW w:w="3080" w:type="dxa"/>
            <w:gridSpan w:val="2"/>
            <w:tcBorders>
              <w:top w:val="single" w:sz="8" w:space="0" w:color="000000"/>
              <w:bottom w:val="single" w:sz="8" w:space="0" w:color="000000"/>
            </w:tcBorders>
            <w:shd w:val="clear" w:color="auto" w:fill="auto"/>
            <w:tcMar>
              <w:top w:w="72" w:type="dxa"/>
              <w:left w:w="144" w:type="dxa"/>
              <w:bottom w:w="72" w:type="dxa"/>
              <w:right w:w="144" w:type="dxa"/>
            </w:tcMar>
          </w:tcPr>
          <w:p w:rsidR="00723165" w:rsidRPr="00743578" w:rsidRDefault="00723165" w:rsidP="00264B74">
            <w:pPr>
              <w:jc w:val="center"/>
              <w:rPr>
                <w:sz w:val="20"/>
                <w:szCs w:val="20"/>
              </w:rPr>
            </w:pPr>
            <w:r w:rsidRPr="00743578">
              <w:rPr>
                <w:sz w:val="20"/>
                <w:szCs w:val="20"/>
              </w:rPr>
              <w:t>No Older Sibling</w:t>
            </w:r>
          </w:p>
        </w:tc>
      </w:tr>
      <w:tr w:rsidR="00723165" w:rsidRPr="00BE07CF">
        <w:trPr>
          <w:trHeight w:val="501"/>
          <w:jc w:val="center"/>
        </w:trPr>
        <w:tc>
          <w:tcPr>
            <w:tcW w:w="1574" w:type="dxa"/>
            <w:tcBorders>
              <w:top w:val="single" w:sz="8" w:space="0" w:color="000000"/>
            </w:tcBorders>
            <w:shd w:val="clear" w:color="auto" w:fill="auto"/>
            <w:tcMar>
              <w:top w:w="72" w:type="dxa"/>
              <w:left w:w="144" w:type="dxa"/>
              <w:bottom w:w="72" w:type="dxa"/>
              <w:right w:w="144" w:type="dxa"/>
            </w:tcMar>
          </w:tcPr>
          <w:p w:rsidR="00723165" w:rsidRDefault="00723165" w:rsidP="00264B74">
            <w:pPr>
              <w:rPr>
                <w:sz w:val="20"/>
                <w:szCs w:val="20"/>
              </w:rPr>
            </w:pPr>
          </w:p>
          <w:p w:rsidR="00723165" w:rsidRPr="00743578" w:rsidRDefault="00723165" w:rsidP="00264B74">
            <w:pPr>
              <w:rPr>
                <w:sz w:val="20"/>
                <w:szCs w:val="20"/>
              </w:rPr>
            </w:pPr>
            <w:r w:rsidRPr="00743578">
              <w:rPr>
                <w:sz w:val="20"/>
                <w:szCs w:val="20"/>
              </w:rPr>
              <w:t>British Ability Scale</w:t>
            </w:r>
          </w:p>
        </w:tc>
        <w:tc>
          <w:tcPr>
            <w:tcW w:w="1320" w:type="dxa"/>
            <w:tcBorders>
              <w:top w:val="single" w:sz="8" w:space="0" w:color="000000"/>
            </w:tcBorders>
            <w:shd w:val="clear" w:color="auto" w:fill="auto"/>
            <w:tcMar>
              <w:top w:w="72" w:type="dxa"/>
              <w:left w:w="144" w:type="dxa"/>
              <w:bottom w:w="72" w:type="dxa"/>
              <w:right w:w="144" w:type="dxa"/>
            </w:tcMar>
          </w:tcPr>
          <w:p w:rsidR="00723165" w:rsidRDefault="00723165" w:rsidP="00264B74">
            <w:pPr>
              <w:jc w:val="center"/>
              <w:rPr>
                <w:sz w:val="20"/>
                <w:szCs w:val="20"/>
              </w:rPr>
            </w:pPr>
          </w:p>
          <w:p w:rsidR="00723165" w:rsidRPr="00743578" w:rsidRDefault="00723165" w:rsidP="00264B74">
            <w:pPr>
              <w:jc w:val="center"/>
              <w:rPr>
                <w:sz w:val="20"/>
                <w:szCs w:val="20"/>
              </w:rPr>
            </w:pPr>
            <w:r w:rsidRPr="00743578">
              <w:rPr>
                <w:sz w:val="20"/>
                <w:szCs w:val="20"/>
              </w:rPr>
              <w:t>.0</w:t>
            </w:r>
            <w:r>
              <w:rPr>
                <w:sz w:val="20"/>
                <w:szCs w:val="20"/>
              </w:rPr>
              <w:t>65</w:t>
            </w:r>
            <w:r w:rsidRPr="00743578">
              <w:rPr>
                <w:sz w:val="20"/>
                <w:szCs w:val="20"/>
              </w:rPr>
              <w:t xml:space="preserve"> (.0</w:t>
            </w:r>
            <w:r>
              <w:rPr>
                <w:sz w:val="20"/>
                <w:szCs w:val="20"/>
              </w:rPr>
              <w:t>16</w:t>
            </w:r>
            <w:r w:rsidRPr="00743578">
              <w:rPr>
                <w:sz w:val="20"/>
                <w:szCs w:val="20"/>
              </w:rPr>
              <w:t>)</w:t>
            </w:r>
          </w:p>
        </w:tc>
        <w:tc>
          <w:tcPr>
            <w:tcW w:w="1650" w:type="dxa"/>
            <w:tcBorders>
              <w:top w:val="single" w:sz="8" w:space="0" w:color="000000"/>
            </w:tcBorders>
            <w:shd w:val="clear" w:color="auto" w:fill="auto"/>
            <w:tcMar>
              <w:top w:w="72" w:type="dxa"/>
              <w:left w:w="144" w:type="dxa"/>
              <w:bottom w:w="72" w:type="dxa"/>
              <w:right w:w="144" w:type="dxa"/>
            </w:tcMar>
          </w:tcPr>
          <w:p w:rsidR="00723165" w:rsidRDefault="00723165" w:rsidP="00264B74">
            <w:pPr>
              <w:jc w:val="center"/>
              <w:rPr>
                <w:sz w:val="20"/>
                <w:szCs w:val="20"/>
              </w:rPr>
            </w:pPr>
          </w:p>
          <w:p w:rsidR="00723165" w:rsidRPr="00743578" w:rsidRDefault="00723165" w:rsidP="00264B74">
            <w:pPr>
              <w:jc w:val="center"/>
              <w:rPr>
                <w:sz w:val="20"/>
                <w:szCs w:val="20"/>
              </w:rPr>
            </w:pPr>
            <w:r w:rsidRPr="00743578">
              <w:rPr>
                <w:sz w:val="20"/>
                <w:szCs w:val="20"/>
              </w:rPr>
              <w:t>.0</w:t>
            </w:r>
            <w:r>
              <w:rPr>
                <w:sz w:val="20"/>
                <w:szCs w:val="20"/>
              </w:rPr>
              <w:t>69</w:t>
            </w:r>
            <w:r w:rsidRPr="00743578">
              <w:rPr>
                <w:sz w:val="20"/>
                <w:szCs w:val="20"/>
              </w:rPr>
              <w:t xml:space="preserve"> (.0</w:t>
            </w:r>
            <w:r>
              <w:rPr>
                <w:sz w:val="20"/>
                <w:szCs w:val="20"/>
              </w:rPr>
              <w:t>16</w:t>
            </w:r>
            <w:r w:rsidRPr="00743578">
              <w:rPr>
                <w:sz w:val="20"/>
                <w:szCs w:val="20"/>
              </w:rPr>
              <w:t>)</w:t>
            </w:r>
          </w:p>
        </w:tc>
        <w:tc>
          <w:tcPr>
            <w:tcW w:w="1650" w:type="dxa"/>
            <w:tcBorders>
              <w:top w:val="single" w:sz="8" w:space="0" w:color="000000"/>
            </w:tcBorders>
            <w:shd w:val="clear" w:color="auto" w:fill="auto"/>
            <w:tcMar>
              <w:top w:w="72" w:type="dxa"/>
              <w:left w:w="144" w:type="dxa"/>
              <w:bottom w:w="72" w:type="dxa"/>
              <w:right w:w="144" w:type="dxa"/>
            </w:tcMar>
          </w:tcPr>
          <w:p w:rsidR="00723165" w:rsidRDefault="00723165" w:rsidP="00264B74">
            <w:pPr>
              <w:jc w:val="center"/>
              <w:rPr>
                <w:sz w:val="20"/>
                <w:szCs w:val="20"/>
              </w:rPr>
            </w:pPr>
          </w:p>
          <w:p w:rsidR="00723165" w:rsidRPr="00743578" w:rsidRDefault="00723165" w:rsidP="00264B74">
            <w:pPr>
              <w:jc w:val="center"/>
              <w:rPr>
                <w:sz w:val="20"/>
                <w:szCs w:val="20"/>
              </w:rPr>
            </w:pPr>
            <w:r w:rsidRPr="00743578">
              <w:rPr>
                <w:sz w:val="20"/>
                <w:szCs w:val="20"/>
              </w:rPr>
              <w:t>.0</w:t>
            </w:r>
            <w:r>
              <w:rPr>
                <w:sz w:val="20"/>
                <w:szCs w:val="20"/>
              </w:rPr>
              <w:t>78</w:t>
            </w:r>
            <w:r w:rsidRPr="00743578">
              <w:rPr>
                <w:sz w:val="20"/>
                <w:szCs w:val="20"/>
              </w:rPr>
              <w:t xml:space="preserve"> (.0</w:t>
            </w:r>
            <w:r>
              <w:rPr>
                <w:sz w:val="20"/>
                <w:szCs w:val="20"/>
              </w:rPr>
              <w:t>24</w:t>
            </w:r>
            <w:r w:rsidRPr="00743578">
              <w:rPr>
                <w:sz w:val="20"/>
                <w:szCs w:val="20"/>
              </w:rPr>
              <w:t>)</w:t>
            </w:r>
          </w:p>
        </w:tc>
        <w:tc>
          <w:tcPr>
            <w:tcW w:w="1430" w:type="dxa"/>
            <w:tcBorders>
              <w:top w:val="single" w:sz="8" w:space="0" w:color="000000"/>
            </w:tcBorders>
            <w:shd w:val="clear" w:color="auto" w:fill="auto"/>
            <w:tcMar>
              <w:top w:w="72" w:type="dxa"/>
              <w:left w:w="144" w:type="dxa"/>
              <w:bottom w:w="72" w:type="dxa"/>
              <w:right w:w="144" w:type="dxa"/>
            </w:tcMar>
          </w:tcPr>
          <w:p w:rsidR="00723165" w:rsidRDefault="00723165" w:rsidP="00264B74">
            <w:pPr>
              <w:jc w:val="center"/>
              <w:rPr>
                <w:sz w:val="20"/>
                <w:szCs w:val="20"/>
              </w:rPr>
            </w:pPr>
          </w:p>
          <w:p w:rsidR="00723165" w:rsidRPr="00743578" w:rsidRDefault="00723165" w:rsidP="00264B74">
            <w:pPr>
              <w:jc w:val="center"/>
              <w:rPr>
                <w:sz w:val="20"/>
                <w:szCs w:val="20"/>
              </w:rPr>
            </w:pPr>
            <w:r w:rsidRPr="00743578">
              <w:rPr>
                <w:sz w:val="20"/>
                <w:szCs w:val="20"/>
              </w:rPr>
              <w:t>.0</w:t>
            </w:r>
            <w:r>
              <w:rPr>
                <w:sz w:val="20"/>
                <w:szCs w:val="20"/>
              </w:rPr>
              <w:t>82</w:t>
            </w:r>
            <w:r w:rsidRPr="00743578">
              <w:rPr>
                <w:sz w:val="20"/>
                <w:szCs w:val="20"/>
              </w:rPr>
              <w:t xml:space="preserve"> (.0</w:t>
            </w:r>
            <w:r>
              <w:rPr>
                <w:sz w:val="20"/>
                <w:szCs w:val="20"/>
              </w:rPr>
              <w:t>25</w:t>
            </w:r>
            <w:r w:rsidRPr="00743578">
              <w:rPr>
                <w:sz w:val="20"/>
                <w:szCs w:val="20"/>
              </w:rPr>
              <w:t>)</w:t>
            </w:r>
          </w:p>
        </w:tc>
      </w:tr>
      <w:tr w:rsidR="00723165" w:rsidRPr="00BE07CF">
        <w:trPr>
          <w:trHeight w:val="594"/>
          <w:jc w:val="center"/>
        </w:trPr>
        <w:tc>
          <w:tcPr>
            <w:tcW w:w="1574" w:type="dxa"/>
            <w:shd w:val="clear" w:color="auto" w:fill="auto"/>
            <w:tcMar>
              <w:top w:w="72" w:type="dxa"/>
              <w:left w:w="144" w:type="dxa"/>
              <w:bottom w:w="72" w:type="dxa"/>
              <w:right w:w="144" w:type="dxa"/>
            </w:tcMar>
          </w:tcPr>
          <w:p w:rsidR="00723165" w:rsidRPr="00743578" w:rsidRDefault="00723165" w:rsidP="00264B74">
            <w:pPr>
              <w:rPr>
                <w:sz w:val="20"/>
                <w:szCs w:val="20"/>
              </w:rPr>
            </w:pPr>
            <w:smartTag w:uri="urn:schemas-microsoft-com:office:smarttags" w:element="place">
              <w:smartTag w:uri="urn:schemas-microsoft-com:office:smarttags" w:element="PlaceName">
                <w:r w:rsidRPr="00743578">
                  <w:rPr>
                    <w:sz w:val="20"/>
                    <w:szCs w:val="20"/>
                  </w:rPr>
                  <w:t>Bracken</w:t>
                </w:r>
              </w:smartTag>
              <w:r w:rsidRPr="00743578">
                <w:rPr>
                  <w:sz w:val="20"/>
                  <w:szCs w:val="20"/>
                </w:rPr>
                <w:t xml:space="preserve"> </w:t>
              </w:r>
              <w:smartTag w:uri="urn:schemas-microsoft-com:office:smarttags" w:element="PlaceType">
                <w:r w:rsidRPr="00743578">
                  <w:rPr>
                    <w:sz w:val="20"/>
                    <w:szCs w:val="20"/>
                  </w:rPr>
                  <w:t>School</w:t>
                </w:r>
              </w:smartTag>
            </w:smartTag>
            <w:r w:rsidRPr="00743578">
              <w:rPr>
                <w:sz w:val="20"/>
                <w:szCs w:val="20"/>
              </w:rPr>
              <w:t xml:space="preserve"> Readiness</w:t>
            </w:r>
          </w:p>
        </w:tc>
        <w:tc>
          <w:tcPr>
            <w:tcW w:w="1320" w:type="dxa"/>
            <w:shd w:val="clear" w:color="auto" w:fill="auto"/>
            <w:tcMar>
              <w:top w:w="72" w:type="dxa"/>
              <w:left w:w="144" w:type="dxa"/>
              <w:bottom w:w="72" w:type="dxa"/>
              <w:right w:w="144" w:type="dxa"/>
            </w:tcMar>
          </w:tcPr>
          <w:p w:rsidR="00723165" w:rsidRPr="00743578" w:rsidRDefault="00723165" w:rsidP="00264B74">
            <w:pPr>
              <w:jc w:val="center"/>
              <w:rPr>
                <w:sz w:val="20"/>
                <w:szCs w:val="20"/>
              </w:rPr>
            </w:pPr>
            <w:r w:rsidRPr="00743578">
              <w:rPr>
                <w:sz w:val="20"/>
                <w:szCs w:val="20"/>
              </w:rPr>
              <w:t>.0</w:t>
            </w:r>
            <w:r>
              <w:rPr>
                <w:sz w:val="20"/>
                <w:szCs w:val="20"/>
              </w:rPr>
              <w:t>18</w:t>
            </w:r>
            <w:r w:rsidRPr="00743578">
              <w:rPr>
                <w:sz w:val="20"/>
                <w:szCs w:val="20"/>
              </w:rPr>
              <w:t xml:space="preserve"> (.0</w:t>
            </w:r>
            <w:r>
              <w:rPr>
                <w:sz w:val="20"/>
                <w:szCs w:val="20"/>
              </w:rPr>
              <w:t>17</w:t>
            </w:r>
            <w:r w:rsidRPr="00743578">
              <w:rPr>
                <w:sz w:val="20"/>
                <w:szCs w:val="20"/>
              </w:rPr>
              <w:t>)</w:t>
            </w:r>
          </w:p>
        </w:tc>
        <w:tc>
          <w:tcPr>
            <w:tcW w:w="1650" w:type="dxa"/>
            <w:shd w:val="clear" w:color="auto" w:fill="auto"/>
            <w:tcMar>
              <w:top w:w="72" w:type="dxa"/>
              <w:left w:w="144" w:type="dxa"/>
              <w:bottom w:w="72" w:type="dxa"/>
              <w:right w:w="144" w:type="dxa"/>
            </w:tcMar>
          </w:tcPr>
          <w:p w:rsidR="00723165" w:rsidRPr="00743578" w:rsidRDefault="00723165" w:rsidP="00264B74">
            <w:pPr>
              <w:jc w:val="center"/>
              <w:rPr>
                <w:sz w:val="20"/>
                <w:szCs w:val="20"/>
              </w:rPr>
            </w:pPr>
            <w:r w:rsidRPr="00743578">
              <w:rPr>
                <w:sz w:val="20"/>
                <w:szCs w:val="20"/>
              </w:rPr>
              <w:t>-.002 (.0</w:t>
            </w:r>
            <w:r>
              <w:rPr>
                <w:sz w:val="20"/>
                <w:szCs w:val="20"/>
              </w:rPr>
              <w:t>1</w:t>
            </w:r>
            <w:r w:rsidRPr="00743578">
              <w:rPr>
                <w:sz w:val="20"/>
                <w:szCs w:val="20"/>
              </w:rPr>
              <w:t>5)</w:t>
            </w:r>
          </w:p>
        </w:tc>
        <w:tc>
          <w:tcPr>
            <w:tcW w:w="1650" w:type="dxa"/>
            <w:shd w:val="clear" w:color="auto" w:fill="auto"/>
            <w:tcMar>
              <w:top w:w="72" w:type="dxa"/>
              <w:left w:w="144" w:type="dxa"/>
              <w:bottom w:w="72" w:type="dxa"/>
              <w:right w:w="144" w:type="dxa"/>
            </w:tcMar>
          </w:tcPr>
          <w:p w:rsidR="00723165" w:rsidRPr="00743578" w:rsidRDefault="00723165" w:rsidP="00264B74">
            <w:pPr>
              <w:jc w:val="center"/>
              <w:rPr>
                <w:sz w:val="20"/>
                <w:szCs w:val="20"/>
              </w:rPr>
            </w:pPr>
            <w:r w:rsidRPr="00743578">
              <w:rPr>
                <w:sz w:val="20"/>
                <w:szCs w:val="20"/>
              </w:rPr>
              <w:t>.0</w:t>
            </w:r>
            <w:r>
              <w:rPr>
                <w:sz w:val="20"/>
                <w:szCs w:val="20"/>
              </w:rPr>
              <w:t>23</w:t>
            </w:r>
            <w:r w:rsidRPr="00743578">
              <w:rPr>
                <w:sz w:val="20"/>
                <w:szCs w:val="20"/>
              </w:rPr>
              <w:t xml:space="preserve"> (.0</w:t>
            </w:r>
            <w:r>
              <w:rPr>
                <w:sz w:val="20"/>
                <w:szCs w:val="20"/>
              </w:rPr>
              <w:t>21</w:t>
            </w:r>
            <w:r w:rsidRPr="00743578">
              <w:rPr>
                <w:sz w:val="20"/>
                <w:szCs w:val="20"/>
              </w:rPr>
              <w:t>)</w:t>
            </w:r>
          </w:p>
        </w:tc>
        <w:tc>
          <w:tcPr>
            <w:tcW w:w="1430" w:type="dxa"/>
            <w:shd w:val="clear" w:color="auto" w:fill="auto"/>
            <w:tcMar>
              <w:top w:w="72" w:type="dxa"/>
              <w:left w:w="144" w:type="dxa"/>
              <w:bottom w:w="72" w:type="dxa"/>
              <w:right w:w="144" w:type="dxa"/>
            </w:tcMar>
          </w:tcPr>
          <w:p w:rsidR="00723165" w:rsidRPr="00743578" w:rsidRDefault="00723165" w:rsidP="00264B74">
            <w:pPr>
              <w:jc w:val="center"/>
              <w:rPr>
                <w:sz w:val="20"/>
                <w:szCs w:val="20"/>
              </w:rPr>
            </w:pPr>
            <w:r w:rsidRPr="00743578">
              <w:rPr>
                <w:sz w:val="20"/>
                <w:szCs w:val="20"/>
              </w:rPr>
              <w:t>-.0</w:t>
            </w:r>
            <w:r>
              <w:rPr>
                <w:sz w:val="20"/>
                <w:szCs w:val="20"/>
              </w:rPr>
              <w:t>1</w:t>
            </w:r>
            <w:r w:rsidRPr="00743578">
              <w:rPr>
                <w:sz w:val="20"/>
                <w:szCs w:val="20"/>
              </w:rPr>
              <w:t>6 (.0</w:t>
            </w:r>
            <w:r>
              <w:rPr>
                <w:sz w:val="20"/>
                <w:szCs w:val="20"/>
              </w:rPr>
              <w:t>22</w:t>
            </w:r>
            <w:r w:rsidRPr="00743578">
              <w:rPr>
                <w:sz w:val="20"/>
                <w:szCs w:val="20"/>
              </w:rPr>
              <w:t>)</w:t>
            </w:r>
          </w:p>
        </w:tc>
      </w:tr>
      <w:tr w:rsidR="00723165" w:rsidRPr="00BE07CF">
        <w:trPr>
          <w:trHeight w:val="840"/>
          <w:jc w:val="center"/>
        </w:trPr>
        <w:tc>
          <w:tcPr>
            <w:tcW w:w="1574" w:type="dxa"/>
            <w:tcBorders>
              <w:bottom w:val="single" w:sz="8" w:space="0" w:color="000000"/>
            </w:tcBorders>
            <w:shd w:val="clear" w:color="auto" w:fill="auto"/>
            <w:tcMar>
              <w:top w:w="72" w:type="dxa"/>
              <w:left w:w="144" w:type="dxa"/>
              <w:bottom w:w="72" w:type="dxa"/>
              <w:right w:w="144" w:type="dxa"/>
            </w:tcMar>
          </w:tcPr>
          <w:p w:rsidR="00723165" w:rsidRPr="00743578" w:rsidRDefault="00723165" w:rsidP="00264B74">
            <w:pPr>
              <w:rPr>
                <w:sz w:val="20"/>
                <w:szCs w:val="20"/>
              </w:rPr>
            </w:pPr>
            <w:r w:rsidRPr="00743578">
              <w:rPr>
                <w:sz w:val="20"/>
                <w:szCs w:val="20"/>
              </w:rPr>
              <w:t>SDQ Problem Behaviour</w:t>
            </w:r>
          </w:p>
        </w:tc>
        <w:tc>
          <w:tcPr>
            <w:tcW w:w="1320" w:type="dxa"/>
            <w:tcBorders>
              <w:bottom w:val="single" w:sz="8" w:space="0" w:color="000000"/>
            </w:tcBorders>
            <w:shd w:val="clear" w:color="auto" w:fill="auto"/>
            <w:tcMar>
              <w:top w:w="72" w:type="dxa"/>
              <w:left w:w="144" w:type="dxa"/>
              <w:bottom w:w="72" w:type="dxa"/>
              <w:right w:w="144" w:type="dxa"/>
            </w:tcMar>
          </w:tcPr>
          <w:p w:rsidR="00723165" w:rsidRPr="00743578" w:rsidRDefault="00723165" w:rsidP="00264B74">
            <w:pPr>
              <w:jc w:val="center"/>
              <w:rPr>
                <w:sz w:val="20"/>
                <w:szCs w:val="20"/>
              </w:rPr>
            </w:pPr>
            <w:r>
              <w:rPr>
                <w:sz w:val="20"/>
                <w:szCs w:val="20"/>
              </w:rPr>
              <w:t>-</w:t>
            </w:r>
            <w:r w:rsidRPr="00743578">
              <w:rPr>
                <w:sz w:val="20"/>
                <w:szCs w:val="20"/>
              </w:rPr>
              <w:t>.01</w:t>
            </w:r>
            <w:r>
              <w:rPr>
                <w:sz w:val="20"/>
                <w:szCs w:val="20"/>
              </w:rPr>
              <w:t>3</w:t>
            </w:r>
            <w:r w:rsidRPr="00743578">
              <w:rPr>
                <w:sz w:val="20"/>
                <w:szCs w:val="20"/>
              </w:rPr>
              <w:t xml:space="preserve"> (.0</w:t>
            </w:r>
            <w:r>
              <w:rPr>
                <w:sz w:val="20"/>
                <w:szCs w:val="20"/>
              </w:rPr>
              <w:t>11</w:t>
            </w:r>
            <w:r w:rsidRPr="00743578">
              <w:rPr>
                <w:sz w:val="20"/>
                <w:szCs w:val="20"/>
              </w:rPr>
              <w:t>)</w:t>
            </w:r>
          </w:p>
        </w:tc>
        <w:tc>
          <w:tcPr>
            <w:tcW w:w="1650" w:type="dxa"/>
            <w:tcBorders>
              <w:bottom w:val="single" w:sz="8" w:space="0" w:color="000000"/>
            </w:tcBorders>
            <w:shd w:val="clear" w:color="auto" w:fill="auto"/>
            <w:tcMar>
              <w:top w:w="72" w:type="dxa"/>
              <w:left w:w="144" w:type="dxa"/>
              <w:bottom w:w="72" w:type="dxa"/>
              <w:right w:w="144" w:type="dxa"/>
            </w:tcMar>
          </w:tcPr>
          <w:p w:rsidR="00723165" w:rsidRPr="00743578" w:rsidRDefault="00723165" w:rsidP="00264B74">
            <w:pPr>
              <w:jc w:val="center"/>
              <w:rPr>
                <w:sz w:val="20"/>
                <w:szCs w:val="20"/>
              </w:rPr>
            </w:pPr>
            <w:r w:rsidRPr="00743578">
              <w:rPr>
                <w:sz w:val="20"/>
                <w:szCs w:val="20"/>
              </w:rPr>
              <w:t>.00</w:t>
            </w:r>
            <w:r>
              <w:rPr>
                <w:sz w:val="20"/>
                <w:szCs w:val="20"/>
              </w:rPr>
              <w:t>4</w:t>
            </w:r>
            <w:r w:rsidRPr="00743578">
              <w:rPr>
                <w:sz w:val="20"/>
                <w:szCs w:val="20"/>
              </w:rPr>
              <w:t xml:space="preserve"> (.0</w:t>
            </w:r>
            <w:r>
              <w:rPr>
                <w:sz w:val="20"/>
                <w:szCs w:val="20"/>
              </w:rPr>
              <w:t>12</w:t>
            </w:r>
            <w:r w:rsidRPr="00743578">
              <w:rPr>
                <w:sz w:val="20"/>
                <w:szCs w:val="20"/>
              </w:rPr>
              <w:t>)</w:t>
            </w:r>
          </w:p>
        </w:tc>
        <w:tc>
          <w:tcPr>
            <w:tcW w:w="1650" w:type="dxa"/>
            <w:tcBorders>
              <w:bottom w:val="single" w:sz="8" w:space="0" w:color="000000"/>
            </w:tcBorders>
            <w:shd w:val="clear" w:color="auto" w:fill="auto"/>
            <w:tcMar>
              <w:top w:w="72" w:type="dxa"/>
              <w:left w:w="144" w:type="dxa"/>
              <w:bottom w:w="72" w:type="dxa"/>
              <w:right w:w="144" w:type="dxa"/>
            </w:tcMar>
          </w:tcPr>
          <w:p w:rsidR="00723165" w:rsidRPr="00743578" w:rsidRDefault="00723165" w:rsidP="00264B74">
            <w:pPr>
              <w:jc w:val="center"/>
              <w:rPr>
                <w:sz w:val="20"/>
                <w:szCs w:val="20"/>
              </w:rPr>
            </w:pPr>
            <w:r>
              <w:rPr>
                <w:sz w:val="20"/>
                <w:szCs w:val="20"/>
              </w:rPr>
              <w:t>-</w:t>
            </w:r>
            <w:r w:rsidRPr="00743578">
              <w:rPr>
                <w:sz w:val="20"/>
                <w:szCs w:val="20"/>
              </w:rPr>
              <w:t>.0</w:t>
            </w:r>
            <w:r>
              <w:rPr>
                <w:sz w:val="20"/>
                <w:szCs w:val="20"/>
              </w:rPr>
              <w:t>20</w:t>
            </w:r>
            <w:r w:rsidRPr="00743578">
              <w:rPr>
                <w:sz w:val="20"/>
                <w:szCs w:val="20"/>
              </w:rPr>
              <w:t xml:space="preserve"> (.0</w:t>
            </w:r>
            <w:r>
              <w:rPr>
                <w:sz w:val="20"/>
                <w:szCs w:val="20"/>
              </w:rPr>
              <w:t>19</w:t>
            </w:r>
            <w:r w:rsidRPr="00743578">
              <w:rPr>
                <w:sz w:val="20"/>
                <w:szCs w:val="20"/>
              </w:rPr>
              <w:t>)</w:t>
            </w:r>
          </w:p>
        </w:tc>
        <w:tc>
          <w:tcPr>
            <w:tcW w:w="1430" w:type="dxa"/>
            <w:tcBorders>
              <w:bottom w:val="single" w:sz="8" w:space="0" w:color="000000"/>
            </w:tcBorders>
            <w:shd w:val="clear" w:color="auto" w:fill="auto"/>
            <w:tcMar>
              <w:top w:w="72" w:type="dxa"/>
              <w:left w:w="144" w:type="dxa"/>
              <w:bottom w:w="72" w:type="dxa"/>
              <w:right w:w="144" w:type="dxa"/>
            </w:tcMar>
          </w:tcPr>
          <w:p w:rsidR="00723165" w:rsidRPr="00743578" w:rsidRDefault="00723165" w:rsidP="00264B74">
            <w:pPr>
              <w:jc w:val="center"/>
              <w:rPr>
                <w:sz w:val="20"/>
                <w:szCs w:val="20"/>
              </w:rPr>
            </w:pPr>
            <w:r w:rsidRPr="00743578">
              <w:rPr>
                <w:sz w:val="20"/>
                <w:szCs w:val="20"/>
              </w:rPr>
              <w:t>.00</w:t>
            </w:r>
            <w:r>
              <w:rPr>
                <w:sz w:val="20"/>
                <w:szCs w:val="20"/>
              </w:rPr>
              <w:t>2</w:t>
            </w:r>
            <w:r w:rsidRPr="00743578">
              <w:rPr>
                <w:sz w:val="20"/>
                <w:szCs w:val="20"/>
              </w:rPr>
              <w:t xml:space="preserve"> (.0</w:t>
            </w:r>
            <w:r>
              <w:rPr>
                <w:sz w:val="20"/>
                <w:szCs w:val="20"/>
              </w:rPr>
              <w:t>19</w:t>
            </w:r>
            <w:r w:rsidRPr="00743578">
              <w:rPr>
                <w:sz w:val="20"/>
                <w:szCs w:val="20"/>
              </w:rPr>
              <w:t>)</w:t>
            </w:r>
          </w:p>
        </w:tc>
      </w:tr>
      <w:tr w:rsidR="00723165" w:rsidRPr="00BE07CF">
        <w:trPr>
          <w:trHeight w:val="509"/>
          <w:jc w:val="center"/>
        </w:trPr>
        <w:tc>
          <w:tcPr>
            <w:tcW w:w="1574" w:type="dxa"/>
            <w:tcBorders>
              <w:top w:val="single" w:sz="8" w:space="0" w:color="000000"/>
              <w:bottom w:val="single" w:sz="8" w:space="0" w:color="000000"/>
            </w:tcBorders>
            <w:shd w:val="clear" w:color="auto" w:fill="auto"/>
            <w:tcMar>
              <w:top w:w="72" w:type="dxa"/>
              <w:left w:w="144" w:type="dxa"/>
              <w:bottom w:w="72" w:type="dxa"/>
              <w:right w:w="144" w:type="dxa"/>
            </w:tcMar>
          </w:tcPr>
          <w:p w:rsidR="00723165" w:rsidRPr="00743578" w:rsidRDefault="00723165" w:rsidP="00264B74">
            <w:pPr>
              <w:rPr>
                <w:sz w:val="20"/>
                <w:szCs w:val="20"/>
              </w:rPr>
            </w:pPr>
            <w:r w:rsidRPr="00743578">
              <w:rPr>
                <w:sz w:val="20"/>
                <w:szCs w:val="20"/>
              </w:rPr>
              <w:t xml:space="preserve">Other Variables </w:t>
            </w:r>
            <w:r w:rsidR="00581831">
              <w:rPr>
                <w:sz w:val="20"/>
                <w:szCs w:val="20"/>
              </w:rPr>
              <w:t xml:space="preserve">in Table 4 </w:t>
            </w:r>
            <w:r w:rsidRPr="00743578">
              <w:rPr>
                <w:sz w:val="20"/>
                <w:szCs w:val="20"/>
              </w:rPr>
              <w:t>Controlled For</w:t>
            </w:r>
          </w:p>
        </w:tc>
        <w:tc>
          <w:tcPr>
            <w:tcW w:w="1320" w:type="dxa"/>
            <w:tcBorders>
              <w:top w:val="single" w:sz="8" w:space="0" w:color="000000"/>
              <w:bottom w:val="single" w:sz="8" w:space="0" w:color="000000"/>
            </w:tcBorders>
            <w:shd w:val="clear" w:color="auto" w:fill="auto"/>
            <w:tcMar>
              <w:top w:w="72" w:type="dxa"/>
              <w:left w:w="144" w:type="dxa"/>
              <w:bottom w:w="72" w:type="dxa"/>
              <w:right w:w="144" w:type="dxa"/>
            </w:tcMar>
          </w:tcPr>
          <w:p w:rsidR="00723165" w:rsidRPr="00743578" w:rsidRDefault="00723165" w:rsidP="00264B74">
            <w:pPr>
              <w:jc w:val="center"/>
              <w:rPr>
                <w:sz w:val="20"/>
                <w:szCs w:val="20"/>
              </w:rPr>
            </w:pPr>
            <w:r w:rsidRPr="00743578">
              <w:rPr>
                <w:sz w:val="20"/>
                <w:szCs w:val="20"/>
              </w:rPr>
              <w:t>No</w:t>
            </w:r>
          </w:p>
        </w:tc>
        <w:tc>
          <w:tcPr>
            <w:tcW w:w="1650" w:type="dxa"/>
            <w:tcBorders>
              <w:top w:val="single" w:sz="8" w:space="0" w:color="000000"/>
              <w:bottom w:val="single" w:sz="8" w:space="0" w:color="000000"/>
            </w:tcBorders>
            <w:shd w:val="clear" w:color="auto" w:fill="auto"/>
            <w:tcMar>
              <w:top w:w="72" w:type="dxa"/>
              <w:left w:w="144" w:type="dxa"/>
              <w:bottom w:w="72" w:type="dxa"/>
              <w:right w:w="144" w:type="dxa"/>
            </w:tcMar>
          </w:tcPr>
          <w:p w:rsidR="00723165" w:rsidRPr="00743578" w:rsidRDefault="00723165" w:rsidP="00264B74">
            <w:pPr>
              <w:jc w:val="center"/>
              <w:rPr>
                <w:sz w:val="20"/>
                <w:szCs w:val="20"/>
              </w:rPr>
            </w:pPr>
            <w:r w:rsidRPr="00743578">
              <w:rPr>
                <w:sz w:val="20"/>
                <w:szCs w:val="20"/>
              </w:rPr>
              <w:t>Yes</w:t>
            </w:r>
          </w:p>
        </w:tc>
        <w:tc>
          <w:tcPr>
            <w:tcW w:w="1650" w:type="dxa"/>
            <w:tcBorders>
              <w:top w:val="single" w:sz="8" w:space="0" w:color="000000"/>
              <w:bottom w:val="single" w:sz="8" w:space="0" w:color="000000"/>
            </w:tcBorders>
            <w:shd w:val="clear" w:color="auto" w:fill="auto"/>
            <w:tcMar>
              <w:top w:w="72" w:type="dxa"/>
              <w:left w:w="144" w:type="dxa"/>
              <w:bottom w:w="72" w:type="dxa"/>
              <w:right w:w="144" w:type="dxa"/>
            </w:tcMar>
          </w:tcPr>
          <w:p w:rsidR="00723165" w:rsidRPr="00743578" w:rsidRDefault="00723165" w:rsidP="00264B74">
            <w:pPr>
              <w:jc w:val="center"/>
              <w:rPr>
                <w:sz w:val="20"/>
                <w:szCs w:val="20"/>
              </w:rPr>
            </w:pPr>
            <w:r w:rsidRPr="00743578">
              <w:rPr>
                <w:sz w:val="20"/>
                <w:szCs w:val="20"/>
              </w:rPr>
              <w:t>No</w:t>
            </w:r>
          </w:p>
        </w:tc>
        <w:tc>
          <w:tcPr>
            <w:tcW w:w="1430" w:type="dxa"/>
            <w:tcBorders>
              <w:top w:val="single" w:sz="8" w:space="0" w:color="000000"/>
              <w:bottom w:val="single" w:sz="8" w:space="0" w:color="000000"/>
            </w:tcBorders>
            <w:shd w:val="clear" w:color="auto" w:fill="auto"/>
            <w:tcMar>
              <w:top w:w="72" w:type="dxa"/>
              <w:left w:w="144" w:type="dxa"/>
              <w:bottom w:w="72" w:type="dxa"/>
              <w:right w:w="144" w:type="dxa"/>
            </w:tcMar>
          </w:tcPr>
          <w:p w:rsidR="00723165" w:rsidRPr="00743578" w:rsidRDefault="00723165" w:rsidP="00264B74">
            <w:pPr>
              <w:jc w:val="center"/>
              <w:rPr>
                <w:sz w:val="20"/>
                <w:szCs w:val="20"/>
              </w:rPr>
            </w:pPr>
            <w:r w:rsidRPr="00743578">
              <w:rPr>
                <w:sz w:val="20"/>
                <w:szCs w:val="20"/>
              </w:rPr>
              <w:t>Yes</w:t>
            </w:r>
          </w:p>
        </w:tc>
      </w:tr>
      <w:tr w:rsidR="00723165" w:rsidRPr="00BE07CF">
        <w:trPr>
          <w:trHeight w:val="235"/>
          <w:jc w:val="center"/>
        </w:trPr>
        <w:tc>
          <w:tcPr>
            <w:tcW w:w="1574" w:type="dxa"/>
            <w:tcBorders>
              <w:top w:val="single" w:sz="8" w:space="0" w:color="000000"/>
              <w:bottom w:val="single" w:sz="8" w:space="0" w:color="000000"/>
            </w:tcBorders>
            <w:shd w:val="clear" w:color="auto" w:fill="auto"/>
            <w:tcMar>
              <w:top w:w="72" w:type="dxa"/>
              <w:left w:w="144" w:type="dxa"/>
              <w:bottom w:w="72" w:type="dxa"/>
              <w:right w:w="144" w:type="dxa"/>
            </w:tcMar>
          </w:tcPr>
          <w:p w:rsidR="00723165" w:rsidRPr="00743578" w:rsidRDefault="00723165" w:rsidP="00264B74">
            <w:pPr>
              <w:rPr>
                <w:sz w:val="20"/>
                <w:szCs w:val="20"/>
              </w:rPr>
            </w:pPr>
            <w:r w:rsidRPr="00743578">
              <w:rPr>
                <w:sz w:val="20"/>
                <w:szCs w:val="20"/>
              </w:rPr>
              <w:t>Sample size</w:t>
            </w:r>
          </w:p>
        </w:tc>
        <w:tc>
          <w:tcPr>
            <w:tcW w:w="1320" w:type="dxa"/>
            <w:tcBorders>
              <w:top w:val="single" w:sz="8" w:space="0" w:color="000000"/>
              <w:bottom w:val="single" w:sz="8" w:space="0" w:color="000000"/>
            </w:tcBorders>
            <w:shd w:val="clear" w:color="auto" w:fill="auto"/>
            <w:tcMar>
              <w:top w:w="72" w:type="dxa"/>
              <w:left w:w="144" w:type="dxa"/>
              <w:bottom w:w="72" w:type="dxa"/>
              <w:right w:w="144" w:type="dxa"/>
            </w:tcMar>
          </w:tcPr>
          <w:p w:rsidR="00723165" w:rsidRPr="00743578" w:rsidRDefault="00723165" w:rsidP="00264B74">
            <w:pPr>
              <w:jc w:val="center"/>
              <w:rPr>
                <w:sz w:val="20"/>
                <w:szCs w:val="20"/>
              </w:rPr>
            </w:pPr>
            <w:r>
              <w:rPr>
                <w:sz w:val="20"/>
                <w:szCs w:val="20"/>
              </w:rPr>
              <w:t>1587</w:t>
            </w:r>
          </w:p>
        </w:tc>
        <w:tc>
          <w:tcPr>
            <w:tcW w:w="1650" w:type="dxa"/>
            <w:tcBorders>
              <w:top w:val="single" w:sz="8" w:space="0" w:color="000000"/>
              <w:bottom w:val="single" w:sz="8" w:space="0" w:color="000000"/>
            </w:tcBorders>
            <w:shd w:val="clear" w:color="auto" w:fill="auto"/>
            <w:tcMar>
              <w:top w:w="72" w:type="dxa"/>
              <w:left w:w="144" w:type="dxa"/>
              <w:bottom w:w="72" w:type="dxa"/>
              <w:right w:w="144" w:type="dxa"/>
            </w:tcMar>
          </w:tcPr>
          <w:p w:rsidR="00723165" w:rsidRPr="00743578" w:rsidRDefault="00723165" w:rsidP="00264B74">
            <w:pPr>
              <w:jc w:val="center"/>
              <w:rPr>
                <w:sz w:val="20"/>
                <w:szCs w:val="20"/>
              </w:rPr>
            </w:pPr>
            <w:r>
              <w:rPr>
                <w:sz w:val="20"/>
                <w:szCs w:val="20"/>
              </w:rPr>
              <w:t>1507</w:t>
            </w:r>
          </w:p>
        </w:tc>
        <w:tc>
          <w:tcPr>
            <w:tcW w:w="1650" w:type="dxa"/>
            <w:tcBorders>
              <w:top w:val="single" w:sz="8" w:space="0" w:color="000000"/>
              <w:bottom w:val="single" w:sz="8" w:space="0" w:color="000000"/>
            </w:tcBorders>
            <w:shd w:val="clear" w:color="auto" w:fill="auto"/>
            <w:tcMar>
              <w:top w:w="72" w:type="dxa"/>
              <w:left w:w="144" w:type="dxa"/>
              <w:bottom w:w="72" w:type="dxa"/>
              <w:right w:w="144" w:type="dxa"/>
            </w:tcMar>
          </w:tcPr>
          <w:p w:rsidR="00723165" w:rsidRPr="00743578" w:rsidRDefault="00723165" w:rsidP="00264B74">
            <w:pPr>
              <w:jc w:val="center"/>
              <w:rPr>
                <w:sz w:val="20"/>
                <w:szCs w:val="20"/>
              </w:rPr>
            </w:pPr>
            <w:r>
              <w:rPr>
                <w:sz w:val="20"/>
                <w:szCs w:val="20"/>
              </w:rPr>
              <w:t>784</w:t>
            </w:r>
          </w:p>
        </w:tc>
        <w:tc>
          <w:tcPr>
            <w:tcW w:w="1430" w:type="dxa"/>
            <w:tcBorders>
              <w:top w:val="single" w:sz="8" w:space="0" w:color="000000"/>
              <w:bottom w:val="single" w:sz="8" w:space="0" w:color="000000"/>
            </w:tcBorders>
            <w:shd w:val="clear" w:color="auto" w:fill="auto"/>
            <w:tcMar>
              <w:top w:w="72" w:type="dxa"/>
              <w:left w:w="144" w:type="dxa"/>
              <w:bottom w:w="72" w:type="dxa"/>
              <w:right w:w="144" w:type="dxa"/>
            </w:tcMar>
          </w:tcPr>
          <w:p w:rsidR="00723165" w:rsidRPr="00743578" w:rsidRDefault="00723165" w:rsidP="00264B74">
            <w:pPr>
              <w:jc w:val="center"/>
              <w:rPr>
                <w:sz w:val="20"/>
                <w:szCs w:val="20"/>
              </w:rPr>
            </w:pPr>
            <w:r>
              <w:rPr>
                <w:sz w:val="20"/>
                <w:szCs w:val="20"/>
              </w:rPr>
              <w:t>781</w:t>
            </w:r>
          </w:p>
        </w:tc>
      </w:tr>
    </w:tbl>
    <w:p w:rsidR="00723165" w:rsidRDefault="00723165" w:rsidP="00206351">
      <w:pPr>
        <w:rPr>
          <w:lang w:val="en-US"/>
        </w:rPr>
      </w:pPr>
    </w:p>
    <w:p w:rsidR="00723165" w:rsidRDefault="00861B0B" w:rsidP="00861B0B">
      <w:pPr>
        <w:ind w:left="567"/>
        <w:rPr>
          <w:lang w:val="en-US"/>
        </w:rPr>
      </w:pPr>
      <w:r w:rsidRPr="00861B0B">
        <w:rPr>
          <w:sz w:val="20"/>
          <w:szCs w:val="20"/>
        </w:rPr>
        <w:t xml:space="preserve">Notes:  As for Table </w:t>
      </w:r>
      <w:r>
        <w:rPr>
          <w:sz w:val="20"/>
          <w:szCs w:val="20"/>
        </w:rPr>
        <w:t>4.</w:t>
      </w:r>
    </w:p>
    <w:p w:rsidR="00206351" w:rsidRDefault="00206351" w:rsidP="00206351"/>
    <w:p w:rsidR="00206351" w:rsidRDefault="00206351" w:rsidP="00206351"/>
    <w:p w:rsidR="00206351" w:rsidRDefault="00206351" w:rsidP="00206351"/>
    <w:p w:rsidR="00206351" w:rsidRDefault="00206351" w:rsidP="00206351"/>
    <w:p w:rsidR="00292089" w:rsidRPr="00006561" w:rsidRDefault="00292089" w:rsidP="00292089">
      <w:pPr>
        <w:jc w:val="center"/>
        <w:rPr>
          <w:b/>
          <w:lang w:val="en-US"/>
        </w:rPr>
      </w:pPr>
      <w:r>
        <w:br w:type="page"/>
      </w:r>
      <w:r w:rsidRPr="00006561">
        <w:rPr>
          <w:b/>
          <w:lang w:val="en-US"/>
        </w:rPr>
        <w:lastRenderedPageBreak/>
        <w:t xml:space="preserve">Table </w:t>
      </w:r>
      <w:r w:rsidR="00581831">
        <w:rPr>
          <w:b/>
          <w:lang w:val="en-US"/>
        </w:rPr>
        <w:t>6</w:t>
      </w:r>
      <w:r w:rsidRPr="00006561">
        <w:rPr>
          <w:b/>
          <w:lang w:val="en-US"/>
        </w:rPr>
        <w:t xml:space="preserve">. </w:t>
      </w:r>
      <w:r>
        <w:rPr>
          <w:b/>
          <w:lang w:val="en-US"/>
        </w:rPr>
        <w:t xml:space="preserve">House Price Differences Between MCS </w:t>
      </w:r>
      <w:r w:rsidR="000A0D22">
        <w:rPr>
          <w:b/>
          <w:lang w:val="en-US"/>
        </w:rPr>
        <w:t xml:space="preserve">Matched </w:t>
      </w:r>
      <w:r>
        <w:rPr>
          <w:b/>
          <w:lang w:val="en-US"/>
        </w:rPr>
        <w:t xml:space="preserve">Postcodes and </w:t>
      </w:r>
      <w:r w:rsidR="00653ADA">
        <w:rPr>
          <w:b/>
          <w:lang w:val="en-US"/>
        </w:rPr>
        <w:t xml:space="preserve">Postcodes in </w:t>
      </w:r>
      <w:r>
        <w:rPr>
          <w:b/>
          <w:lang w:val="en-US"/>
        </w:rPr>
        <w:t>The Land Registry Population of Transactions in 2005</w:t>
      </w:r>
    </w:p>
    <w:p w:rsidR="00292089" w:rsidRDefault="00292089" w:rsidP="00206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292089" w:rsidTr="00B37002">
        <w:tc>
          <w:tcPr>
            <w:tcW w:w="1704" w:type="dxa"/>
            <w:tcBorders>
              <w:left w:val="nil"/>
              <w:right w:val="nil"/>
            </w:tcBorders>
          </w:tcPr>
          <w:p w:rsidR="00292089" w:rsidRPr="00B37002" w:rsidRDefault="00292089" w:rsidP="00206351">
            <w:pPr>
              <w:rPr>
                <w:sz w:val="20"/>
                <w:szCs w:val="20"/>
              </w:rPr>
            </w:pPr>
          </w:p>
        </w:tc>
        <w:tc>
          <w:tcPr>
            <w:tcW w:w="6818" w:type="dxa"/>
            <w:gridSpan w:val="4"/>
            <w:tcBorders>
              <w:left w:val="nil"/>
              <w:right w:val="nil"/>
            </w:tcBorders>
          </w:tcPr>
          <w:p w:rsidR="00292089" w:rsidRPr="00B37002" w:rsidRDefault="00292089" w:rsidP="00B37002">
            <w:pPr>
              <w:jc w:val="center"/>
              <w:rPr>
                <w:sz w:val="20"/>
                <w:szCs w:val="20"/>
              </w:rPr>
            </w:pPr>
          </w:p>
          <w:p w:rsidR="00292089" w:rsidRPr="00B37002" w:rsidRDefault="00292089" w:rsidP="00B37002">
            <w:pPr>
              <w:jc w:val="center"/>
              <w:rPr>
                <w:sz w:val="20"/>
                <w:szCs w:val="20"/>
              </w:rPr>
            </w:pPr>
            <w:r w:rsidRPr="00B37002">
              <w:rPr>
                <w:sz w:val="20"/>
                <w:szCs w:val="20"/>
              </w:rPr>
              <w:t>Log(House Price) Equations</w:t>
            </w:r>
          </w:p>
          <w:p w:rsidR="00292089" w:rsidRPr="00B37002" w:rsidRDefault="00292089" w:rsidP="00B37002">
            <w:pPr>
              <w:jc w:val="center"/>
              <w:rPr>
                <w:sz w:val="20"/>
                <w:szCs w:val="20"/>
              </w:rPr>
            </w:pPr>
          </w:p>
        </w:tc>
      </w:tr>
      <w:tr w:rsidR="00292089" w:rsidTr="00B37002">
        <w:tc>
          <w:tcPr>
            <w:tcW w:w="1704" w:type="dxa"/>
            <w:tcBorders>
              <w:left w:val="nil"/>
              <w:right w:val="nil"/>
            </w:tcBorders>
          </w:tcPr>
          <w:p w:rsidR="00292089" w:rsidRPr="00B37002" w:rsidRDefault="00292089" w:rsidP="00206351">
            <w:pPr>
              <w:rPr>
                <w:sz w:val="20"/>
                <w:szCs w:val="20"/>
              </w:rPr>
            </w:pPr>
          </w:p>
        </w:tc>
        <w:tc>
          <w:tcPr>
            <w:tcW w:w="1704" w:type="dxa"/>
            <w:tcBorders>
              <w:left w:val="nil"/>
              <w:right w:val="nil"/>
            </w:tcBorders>
          </w:tcPr>
          <w:p w:rsidR="00292089" w:rsidRPr="00B37002" w:rsidRDefault="00292089" w:rsidP="00B37002">
            <w:pPr>
              <w:jc w:val="center"/>
              <w:rPr>
                <w:sz w:val="20"/>
                <w:szCs w:val="20"/>
              </w:rPr>
            </w:pPr>
          </w:p>
          <w:p w:rsidR="00292089" w:rsidRPr="00B37002" w:rsidRDefault="00292089" w:rsidP="00B37002">
            <w:pPr>
              <w:jc w:val="center"/>
              <w:rPr>
                <w:sz w:val="20"/>
                <w:szCs w:val="20"/>
              </w:rPr>
            </w:pPr>
            <w:r w:rsidRPr="00B37002">
              <w:rPr>
                <w:sz w:val="20"/>
                <w:szCs w:val="20"/>
              </w:rPr>
              <w:t>(1)</w:t>
            </w:r>
          </w:p>
        </w:tc>
        <w:tc>
          <w:tcPr>
            <w:tcW w:w="1704" w:type="dxa"/>
            <w:tcBorders>
              <w:left w:val="nil"/>
              <w:right w:val="nil"/>
            </w:tcBorders>
          </w:tcPr>
          <w:p w:rsidR="00292089" w:rsidRPr="00B37002" w:rsidRDefault="00292089" w:rsidP="00B37002">
            <w:pPr>
              <w:jc w:val="center"/>
              <w:rPr>
                <w:sz w:val="20"/>
                <w:szCs w:val="20"/>
              </w:rPr>
            </w:pPr>
          </w:p>
          <w:p w:rsidR="00292089" w:rsidRPr="00B37002" w:rsidRDefault="00292089" w:rsidP="00B37002">
            <w:pPr>
              <w:jc w:val="center"/>
              <w:rPr>
                <w:sz w:val="20"/>
                <w:szCs w:val="20"/>
              </w:rPr>
            </w:pPr>
            <w:r w:rsidRPr="00B37002">
              <w:rPr>
                <w:sz w:val="20"/>
                <w:szCs w:val="20"/>
              </w:rPr>
              <w:t>(2)</w:t>
            </w:r>
          </w:p>
        </w:tc>
        <w:tc>
          <w:tcPr>
            <w:tcW w:w="1705" w:type="dxa"/>
            <w:tcBorders>
              <w:left w:val="nil"/>
              <w:right w:val="nil"/>
            </w:tcBorders>
          </w:tcPr>
          <w:p w:rsidR="00292089" w:rsidRPr="00B37002" w:rsidRDefault="00292089" w:rsidP="00B37002">
            <w:pPr>
              <w:jc w:val="center"/>
              <w:rPr>
                <w:sz w:val="20"/>
                <w:szCs w:val="20"/>
              </w:rPr>
            </w:pPr>
          </w:p>
          <w:p w:rsidR="00292089" w:rsidRPr="00B37002" w:rsidRDefault="00292089" w:rsidP="00B37002">
            <w:pPr>
              <w:jc w:val="center"/>
              <w:rPr>
                <w:sz w:val="20"/>
                <w:szCs w:val="20"/>
              </w:rPr>
            </w:pPr>
            <w:r w:rsidRPr="00B37002">
              <w:rPr>
                <w:sz w:val="20"/>
                <w:szCs w:val="20"/>
              </w:rPr>
              <w:t>(3)</w:t>
            </w:r>
          </w:p>
        </w:tc>
        <w:tc>
          <w:tcPr>
            <w:tcW w:w="1705" w:type="dxa"/>
            <w:tcBorders>
              <w:left w:val="nil"/>
              <w:right w:val="nil"/>
            </w:tcBorders>
          </w:tcPr>
          <w:p w:rsidR="00292089" w:rsidRPr="00B37002" w:rsidRDefault="00292089" w:rsidP="00B37002">
            <w:pPr>
              <w:jc w:val="center"/>
              <w:rPr>
                <w:sz w:val="20"/>
                <w:szCs w:val="20"/>
              </w:rPr>
            </w:pPr>
          </w:p>
          <w:p w:rsidR="00292089" w:rsidRPr="00B37002" w:rsidRDefault="00292089" w:rsidP="00B37002">
            <w:pPr>
              <w:jc w:val="center"/>
              <w:rPr>
                <w:sz w:val="20"/>
                <w:szCs w:val="20"/>
              </w:rPr>
            </w:pPr>
            <w:r w:rsidRPr="00B37002">
              <w:rPr>
                <w:sz w:val="20"/>
                <w:szCs w:val="20"/>
              </w:rPr>
              <w:t>(4)</w:t>
            </w:r>
          </w:p>
          <w:p w:rsidR="00292089" w:rsidRPr="00B37002" w:rsidRDefault="00292089" w:rsidP="00B37002">
            <w:pPr>
              <w:jc w:val="center"/>
              <w:rPr>
                <w:sz w:val="20"/>
                <w:szCs w:val="20"/>
              </w:rPr>
            </w:pPr>
          </w:p>
        </w:tc>
      </w:tr>
      <w:tr w:rsidR="00292089" w:rsidTr="00B37002">
        <w:tc>
          <w:tcPr>
            <w:tcW w:w="1704" w:type="dxa"/>
            <w:tcBorders>
              <w:left w:val="nil"/>
              <w:bottom w:val="nil"/>
              <w:right w:val="nil"/>
            </w:tcBorders>
          </w:tcPr>
          <w:p w:rsidR="00292089" w:rsidRPr="00B37002" w:rsidRDefault="00292089" w:rsidP="00206351">
            <w:pPr>
              <w:rPr>
                <w:sz w:val="20"/>
                <w:szCs w:val="20"/>
              </w:rPr>
            </w:pPr>
          </w:p>
        </w:tc>
        <w:tc>
          <w:tcPr>
            <w:tcW w:w="1704" w:type="dxa"/>
            <w:tcBorders>
              <w:left w:val="nil"/>
              <w:bottom w:val="nil"/>
              <w:right w:val="nil"/>
            </w:tcBorders>
          </w:tcPr>
          <w:p w:rsidR="00292089" w:rsidRPr="00B37002" w:rsidRDefault="00292089" w:rsidP="00B37002">
            <w:pPr>
              <w:jc w:val="center"/>
              <w:rPr>
                <w:sz w:val="20"/>
                <w:szCs w:val="20"/>
              </w:rPr>
            </w:pPr>
          </w:p>
        </w:tc>
        <w:tc>
          <w:tcPr>
            <w:tcW w:w="1704" w:type="dxa"/>
            <w:tcBorders>
              <w:left w:val="nil"/>
              <w:bottom w:val="nil"/>
              <w:right w:val="nil"/>
            </w:tcBorders>
          </w:tcPr>
          <w:p w:rsidR="00292089" w:rsidRPr="00B37002" w:rsidRDefault="00292089" w:rsidP="00B37002">
            <w:pPr>
              <w:jc w:val="center"/>
              <w:rPr>
                <w:sz w:val="20"/>
                <w:szCs w:val="20"/>
              </w:rPr>
            </w:pPr>
          </w:p>
        </w:tc>
        <w:tc>
          <w:tcPr>
            <w:tcW w:w="1705" w:type="dxa"/>
            <w:tcBorders>
              <w:left w:val="nil"/>
              <w:bottom w:val="nil"/>
              <w:right w:val="nil"/>
            </w:tcBorders>
          </w:tcPr>
          <w:p w:rsidR="00292089" w:rsidRPr="00B37002" w:rsidRDefault="00292089" w:rsidP="00B37002">
            <w:pPr>
              <w:jc w:val="center"/>
              <w:rPr>
                <w:sz w:val="20"/>
                <w:szCs w:val="20"/>
              </w:rPr>
            </w:pPr>
          </w:p>
        </w:tc>
        <w:tc>
          <w:tcPr>
            <w:tcW w:w="1705" w:type="dxa"/>
            <w:tcBorders>
              <w:left w:val="nil"/>
              <w:bottom w:val="nil"/>
              <w:right w:val="nil"/>
            </w:tcBorders>
          </w:tcPr>
          <w:p w:rsidR="00292089" w:rsidRPr="00B37002" w:rsidRDefault="00292089" w:rsidP="00B37002">
            <w:pPr>
              <w:jc w:val="center"/>
              <w:rPr>
                <w:sz w:val="20"/>
                <w:szCs w:val="20"/>
              </w:rPr>
            </w:pPr>
          </w:p>
        </w:tc>
      </w:tr>
      <w:tr w:rsidR="00292089" w:rsidTr="00B37002">
        <w:tc>
          <w:tcPr>
            <w:tcW w:w="1704" w:type="dxa"/>
            <w:tcBorders>
              <w:top w:val="nil"/>
              <w:left w:val="nil"/>
              <w:bottom w:val="nil"/>
              <w:right w:val="nil"/>
            </w:tcBorders>
          </w:tcPr>
          <w:p w:rsidR="00292089" w:rsidRPr="00B37002" w:rsidRDefault="00292089" w:rsidP="00206351">
            <w:pPr>
              <w:rPr>
                <w:sz w:val="20"/>
                <w:szCs w:val="20"/>
              </w:rPr>
            </w:pPr>
            <w:r w:rsidRPr="00B37002">
              <w:rPr>
                <w:sz w:val="20"/>
                <w:szCs w:val="20"/>
              </w:rPr>
              <w:t>MCS Postcodes</w:t>
            </w:r>
          </w:p>
        </w:tc>
        <w:tc>
          <w:tcPr>
            <w:tcW w:w="1704" w:type="dxa"/>
            <w:tcBorders>
              <w:top w:val="nil"/>
              <w:left w:val="nil"/>
              <w:bottom w:val="nil"/>
              <w:right w:val="nil"/>
            </w:tcBorders>
          </w:tcPr>
          <w:p w:rsidR="00292089" w:rsidRPr="00B37002" w:rsidRDefault="00292089" w:rsidP="00B37002">
            <w:pPr>
              <w:jc w:val="center"/>
              <w:rPr>
                <w:sz w:val="20"/>
                <w:szCs w:val="20"/>
              </w:rPr>
            </w:pPr>
            <w:r w:rsidRPr="00B37002">
              <w:rPr>
                <w:sz w:val="20"/>
                <w:szCs w:val="20"/>
              </w:rPr>
              <w:t>.010 (.015)</w:t>
            </w:r>
          </w:p>
        </w:tc>
        <w:tc>
          <w:tcPr>
            <w:tcW w:w="1704" w:type="dxa"/>
            <w:tcBorders>
              <w:top w:val="nil"/>
              <w:left w:val="nil"/>
              <w:bottom w:val="nil"/>
              <w:right w:val="nil"/>
            </w:tcBorders>
          </w:tcPr>
          <w:p w:rsidR="00292089" w:rsidRPr="00B37002" w:rsidRDefault="00292089" w:rsidP="00B37002">
            <w:pPr>
              <w:jc w:val="center"/>
              <w:rPr>
                <w:sz w:val="20"/>
                <w:szCs w:val="20"/>
              </w:rPr>
            </w:pPr>
            <w:r w:rsidRPr="00B37002">
              <w:rPr>
                <w:sz w:val="20"/>
                <w:szCs w:val="20"/>
              </w:rPr>
              <w:t>.009 (.024)</w:t>
            </w:r>
          </w:p>
        </w:tc>
        <w:tc>
          <w:tcPr>
            <w:tcW w:w="1705" w:type="dxa"/>
            <w:tcBorders>
              <w:top w:val="nil"/>
              <w:left w:val="nil"/>
              <w:bottom w:val="nil"/>
              <w:right w:val="nil"/>
            </w:tcBorders>
          </w:tcPr>
          <w:p w:rsidR="00292089" w:rsidRPr="00B37002" w:rsidRDefault="00416163" w:rsidP="00B37002">
            <w:pPr>
              <w:jc w:val="center"/>
              <w:rPr>
                <w:sz w:val="20"/>
                <w:szCs w:val="20"/>
              </w:rPr>
            </w:pPr>
            <w:r w:rsidRPr="00B37002">
              <w:rPr>
                <w:sz w:val="20"/>
                <w:szCs w:val="20"/>
              </w:rPr>
              <w:t>.026 (.021)</w:t>
            </w:r>
          </w:p>
        </w:tc>
        <w:tc>
          <w:tcPr>
            <w:tcW w:w="1705" w:type="dxa"/>
            <w:tcBorders>
              <w:top w:val="nil"/>
              <w:left w:val="nil"/>
              <w:bottom w:val="nil"/>
              <w:right w:val="nil"/>
            </w:tcBorders>
          </w:tcPr>
          <w:p w:rsidR="00292089" w:rsidRPr="00B37002" w:rsidRDefault="00126081" w:rsidP="00B37002">
            <w:pPr>
              <w:jc w:val="center"/>
              <w:rPr>
                <w:sz w:val="20"/>
                <w:szCs w:val="20"/>
              </w:rPr>
            </w:pPr>
            <w:r w:rsidRPr="00B37002">
              <w:rPr>
                <w:sz w:val="20"/>
                <w:szCs w:val="20"/>
              </w:rPr>
              <w:t>-.003 (.013)</w:t>
            </w:r>
          </w:p>
        </w:tc>
      </w:tr>
      <w:tr w:rsidR="00292089" w:rsidTr="00B37002">
        <w:tc>
          <w:tcPr>
            <w:tcW w:w="1704" w:type="dxa"/>
            <w:tcBorders>
              <w:top w:val="nil"/>
              <w:left w:val="nil"/>
              <w:bottom w:val="single" w:sz="4" w:space="0" w:color="auto"/>
              <w:right w:val="nil"/>
            </w:tcBorders>
          </w:tcPr>
          <w:p w:rsidR="00292089" w:rsidRPr="00B37002" w:rsidRDefault="00292089" w:rsidP="00206351">
            <w:pPr>
              <w:rPr>
                <w:sz w:val="20"/>
                <w:szCs w:val="20"/>
              </w:rPr>
            </w:pPr>
          </w:p>
        </w:tc>
        <w:tc>
          <w:tcPr>
            <w:tcW w:w="1704" w:type="dxa"/>
            <w:tcBorders>
              <w:top w:val="nil"/>
              <w:left w:val="nil"/>
              <w:bottom w:val="single" w:sz="4" w:space="0" w:color="auto"/>
              <w:right w:val="nil"/>
            </w:tcBorders>
          </w:tcPr>
          <w:p w:rsidR="00292089" w:rsidRPr="00B37002" w:rsidRDefault="00292089" w:rsidP="00B37002">
            <w:pPr>
              <w:jc w:val="center"/>
              <w:rPr>
                <w:sz w:val="20"/>
                <w:szCs w:val="20"/>
              </w:rPr>
            </w:pPr>
          </w:p>
        </w:tc>
        <w:tc>
          <w:tcPr>
            <w:tcW w:w="1704" w:type="dxa"/>
            <w:tcBorders>
              <w:top w:val="nil"/>
              <w:left w:val="nil"/>
              <w:bottom w:val="single" w:sz="4" w:space="0" w:color="auto"/>
              <w:right w:val="nil"/>
            </w:tcBorders>
          </w:tcPr>
          <w:p w:rsidR="00292089" w:rsidRPr="00B37002" w:rsidRDefault="00292089" w:rsidP="00B37002">
            <w:pPr>
              <w:jc w:val="center"/>
              <w:rPr>
                <w:sz w:val="20"/>
                <w:szCs w:val="20"/>
              </w:rPr>
            </w:pPr>
          </w:p>
        </w:tc>
        <w:tc>
          <w:tcPr>
            <w:tcW w:w="1705" w:type="dxa"/>
            <w:tcBorders>
              <w:top w:val="nil"/>
              <w:left w:val="nil"/>
              <w:bottom w:val="single" w:sz="4" w:space="0" w:color="auto"/>
              <w:right w:val="nil"/>
            </w:tcBorders>
          </w:tcPr>
          <w:p w:rsidR="00292089" w:rsidRPr="00B37002" w:rsidRDefault="00292089" w:rsidP="00B37002">
            <w:pPr>
              <w:jc w:val="center"/>
              <w:rPr>
                <w:sz w:val="20"/>
                <w:szCs w:val="20"/>
              </w:rPr>
            </w:pPr>
          </w:p>
        </w:tc>
        <w:tc>
          <w:tcPr>
            <w:tcW w:w="1705" w:type="dxa"/>
            <w:tcBorders>
              <w:top w:val="nil"/>
              <w:left w:val="nil"/>
              <w:bottom w:val="single" w:sz="4" w:space="0" w:color="auto"/>
              <w:right w:val="nil"/>
            </w:tcBorders>
          </w:tcPr>
          <w:p w:rsidR="00292089" w:rsidRPr="00B37002" w:rsidRDefault="00292089" w:rsidP="00B37002">
            <w:pPr>
              <w:jc w:val="center"/>
              <w:rPr>
                <w:sz w:val="20"/>
                <w:szCs w:val="20"/>
              </w:rPr>
            </w:pPr>
          </w:p>
        </w:tc>
      </w:tr>
      <w:tr w:rsidR="00292089" w:rsidTr="00B37002">
        <w:tc>
          <w:tcPr>
            <w:tcW w:w="1704" w:type="dxa"/>
            <w:tcBorders>
              <w:top w:val="single" w:sz="4" w:space="0" w:color="auto"/>
              <w:left w:val="nil"/>
              <w:bottom w:val="nil"/>
              <w:right w:val="nil"/>
            </w:tcBorders>
          </w:tcPr>
          <w:p w:rsidR="00292089" w:rsidRPr="00B37002" w:rsidRDefault="00292089" w:rsidP="00206351">
            <w:pPr>
              <w:rPr>
                <w:sz w:val="20"/>
                <w:szCs w:val="20"/>
              </w:rPr>
            </w:pPr>
          </w:p>
          <w:p w:rsidR="00292089" w:rsidRPr="00B37002" w:rsidRDefault="00292089" w:rsidP="00206351">
            <w:pPr>
              <w:rPr>
                <w:sz w:val="20"/>
                <w:szCs w:val="20"/>
              </w:rPr>
            </w:pPr>
            <w:r w:rsidRPr="00B37002">
              <w:rPr>
                <w:sz w:val="20"/>
                <w:szCs w:val="20"/>
              </w:rPr>
              <w:t>Month Dummies</w:t>
            </w:r>
          </w:p>
        </w:tc>
        <w:tc>
          <w:tcPr>
            <w:tcW w:w="1704" w:type="dxa"/>
            <w:tcBorders>
              <w:top w:val="single" w:sz="4" w:space="0" w:color="auto"/>
              <w:left w:val="nil"/>
              <w:bottom w:val="nil"/>
              <w:right w:val="nil"/>
            </w:tcBorders>
          </w:tcPr>
          <w:p w:rsidR="00292089" w:rsidRPr="00B37002" w:rsidRDefault="00292089" w:rsidP="00B37002">
            <w:pPr>
              <w:jc w:val="center"/>
              <w:rPr>
                <w:sz w:val="20"/>
                <w:szCs w:val="20"/>
              </w:rPr>
            </w:pPr>
          </w:p>
          <w:p w:rsidR="00292089" w:rsidRPr="00B37002" w:rsidRDefault="00292089" w:rsidP="00B37002">
            <w:pPr>
              <w:jc w:val="center"/>
              <w:rPr>
                <w:sz w:val="20"/>
                <w:szCs w:val="20"/>
              </w:rPr>
            </w:pPr>
            <w:r w:rsidRPr="00B37002">
              <w:rPr>
                <w:sz w:val="20"/>
                <w:szCs w:val="20"/>
              </w:rPr>
              <w:t>No</w:t>
            </w:r>
          </w:p>
        </w:tc>
        <w:tc>
          <w:tcPr>
            <w:tcW w:w="1704" w:type="dxa"/>
            <w:tcBorders>
              <w:top w:val="single" w:sz="4" w:space="0" w:color="auto"/>
              <w:left w:val="nil"/>
              <w:bottom w:val="nil"/>
              <w:right w:val="nil"/>
            </w:tcBorders>
          </w:tcPr>
          <w:p w:rsidR="00292089" w:rsidRPr="00B37002" w:rsidRDefault="00292089" w:rsidP="00B37002">
            <w:pPr>
              <w:jc w:val="center"/>
              <w:rPr>
                <w:sz w:val="20"/>
                <w:szCs w:val="20"/>
              </w:rPr>
            </w:pPr>
          </w:p>
          <w:p w:rsidR="00292089" w:rsidRPr="00B37002" w:rsidRDefault="00292089" w:rsidP="00B37002">
            <w:pPr>
              <w:jc w:val="center"/>
              <w:rPr>
                <w:sz w:val="20"/>
                <w:szCs w:val="20"/>
              </w:rPr>
            </w:pPr>
            <w:r w:rsidRPr="00B37002">
              <w:rPr>
                <w:sz w:val="20"/>
                <w:szCs w:val="20"/>
              </w:rPr>
              <w:t>Yes</w:t>
            </w:r>
          </w:p>
        </w:tc>
        <w:tc>
          <w:tcPr>
            <w:tcW w:w="1705" w:type="dxa"/>
            <w:tcBorders>
              <w:top w:val="single" w:sz="4" w:space="0" w:color="auto"/>
              <w:left w:val="nil"/>
              <w:bottom w:val="nil"/>
              <w:right w:val="nil"/>
            </w:tcBorders>
          </w:tcPr>
          <w:p w:rsidR="00292089" w:rsidRPr="00B37002" w:rsidRDefault="00292089" w:rsidP="00B37002">
            <w:pPr>
              <w:jc w:val="center"/>
              <w:rPr>
                <w:sz w:val="20"/>
                <w:szCs w:val="20"/>
              </w:rPr>
            </w:pPr>
          </w:p>
          <w:p w:rsidR="00292089" w:rsidRPr="00B37002" w:rsidRDefault="00292089" w:rsidP="00B37002">
            <w:pPr>
              <w:jc w:val="center"/>
              <w:rPr>
                <w:sz w:val="20"/>
                <w:szCs w:val="20"/>
              </w:rPr>
            </w:pPr>
            <w:r w:rsidRPr="00B37002">
              <w:rPr>
                <w:sz w:val="20"/>
                <w:szCs w:val="20"/>
              </w:rPr>
              <w:t>Yes</w:t>
            </w:r>
          </w:p>
        </w:tc>
        <w:tc>
          <w:tcPr>
            <w:tcW w:w="1705" w:type="dxa"/>
            <w:tcBorders>
              <w:top w:val="single" w:sz="4" w:space="0" w:color="auto"/>
              <w:left w:val="nil"/>
              <w:bottom w:val="nil"/>
              <w:right w:val="nil"/>
            </w:tcBorders>
          </w:tcPr>
          <w:p w:rsidR="00292089" w:rsidRPr="00B37002" w:rsidRDefault="00292089" w:rsidP="00B37002">
            <w:pPr>
              <w:jc w:val="center"/>
              <w:rPr>
                <w:sz w:val="20"/>
                <w:szCs w:val="20"/>
              </w:rPr>
            </w:pPr>
          </w:p>
          <w:p w:rsidR="00292089" w:rsidRPr="00B37002" w:rsidRDefault="00292089" w:rsidP="00B37002">
            <w:pPr>
              <w:jc w:val="center"/>
              <w:rPr>
                <w:sz w:val="20"/>
                <w:szCs w:val="20"/>
              </w:rPr>
            </w:pPr>
            <w:r w:rsidRPr="00B37002">
              <w:rPr>
                <w:sz w:val="20"/>
                <w:szCs w:val="20"/>
              </w:rPr>
              <w:t>Yes</w:t>
            </w:r>
          </w:p>
        </w:tc>
      </w:tr>
      <w:tr w:rsidR="00292089" w:rsidTr="00B37002">
        <w:tc>
          <w:tcPr>
            <w:tcW w:w="1704" w:type="dxa"/>
            <w:tcBorders>
              <w:top w:val="nil"/>
              <w:left w:val="nil"/>
              <w:bottom w:val="nil"/>
              <w:right w:val="nil"/>
            </w:tcBorders>
          </w:tcPr>
          <w:p w:rsidR="00292089" w:rsidRPr="00B37002" w:rsidRDefault="00292089" w:rsidP="00206351">
            <w:pPr>
              <w:rPr>
                <w:sz w:val="20"/>
                <w:szCs w:val="20"/>
              </w:rPr>
            </w:pPr>
            <w:r w:rsidRPr="00B37002">
              <w:rPr>
                <w:sz w:val="20"/>
                <w:szCs w:val="20"/>
              </w:rPr>
              <w:t>Controls for House Type</w:t>
            </w:r>
          </w:p>
        </w:tc>
        <w:tc>
          <w:tcPr>
            <w:tcW w:w="1704" w:type="dxa"/>
            <w:tcBorders>
              <w:top w:val="nil"/>
              <w:left w:val="nil"/>
              <w:bottom w:val="nil"/>
              <w:right w:val="nil"/>
            </w:tcBorders>
          </w:tcPr>
          <w:p w:rsidR="00292089" w:rsidRPr="00B37002" w:rsidRDefault="00292089" w:rsidP="00B37002">
            <w:pPr>
              <w:jc w:val="center"/>
              <w:rPr>
                <w:sz w:val="20"/>
                <w:szCs w:val="20"/>
              </w:rPr>
            </w:pPr>
            <w:r w:rsidRPr="00B37002">
              <w:rPr>
                <w:sz w:val="20"/>
                <w:szCs w:val="20"/>
              </w:rPr>
              <w:t>No</w:t>
            </w:r>
          </w:p>
        </w:tc>
        <w:tc>
          <w:tcPr>
            <w:tcW w:w="1704" w:type="dxa"/>
            <w:tcBorders>
              <w:top w:val="nil"/>
              <w:left w:val="nil"/>
              <w:bottom w:val="nil"/>
              <w:right w:val="nil"/>
            </w:tcBorders>
          </w:tcPr>
          <w:p w:rsidR="00292089" w:rsidRPr="00B37002" w:rsidRDefault="00292089" w:rsidP="00B37002">
            <w:pPr>
              <w:jc w:val="center"/>
              <w:rPr>
                <w:sz w:val="20"/>
                <w:szCs w:val="20"/>
              </w:rPr>
            </w:pPr>
            <w:r w:rsidRPr="00B37002">
              <w:rPr>
                <w:sz w:val="20"/>
                <w:szCs w:val="20"/>
              </w:rPr>
              <w:t>No</w:t>
            </w:r>
          </w:p>
        </w:tc>
        <w:tc>
          <w:tcPr>
            <w:tcW w:w="1705" w:type="dxa"/>
            <w:tcBorders>
              <w:top w:val="nil"/>
              <w:left w:val="nil"/>
              <w:bottom w:val="nil"/>
              <w:right w:val="nil"/>
            </w:tcBorders>
          </w:tcPr>
          <w:p w:rsidR="00292089" w:rsidRPr="00B37002" w:rsidRDefault="00292089" w:rsidP="00B37002">
            <w:pPr>
              <w:jc w:val="center"/>
              <w:rPr>
                <w:sz w:val="20"/>
                <w:szCs w:val="20"/>
              </w:rPr>
            </w:pPr>
            <w:r w:rsidRPr="00B37002">
              <w:rPr>
                <w:sz w:val="20"/>
                <w:szCs w:val="20"/>
              </w:rPr>
              <w:t>Yes</w:t>
            </w:r>
          </w:p>
        </w:tc>
        <w:tc>
          <w:tcPr>
            <w:tcW w:w="1705" w:type="dxa"/>
            <w:tcBorders>
              <w:top w:val="nil"/>
              <w:left w:val="nil"/>
              <w:bottom w:val="nil"/>
              <w:right w:val="nil"/>
            </w:tcBorders>
          </w:tcPr>
          <w:p w:rsidR="00292089" w:rsidRPr="00B37002" w:rsidRDefault="00292089" w:rsidP="00B37002">
            <w:pPr>
              <w:jc w:val="center"/>
              <w:rPr>
                <w:sz w:val="20"/>
                <w:szCs w:val="20"/>
              </w:rPr>
            </w:pPr>
            <w:r w:rsidRPr="00B37002">
              <w:rPr>
                <w:sz w:val="20"/>
                <w:szCs w:val="20"/>
              </w:rPr>
              <w:t>Yes</w:t>
            </w:r>
          </w:p>
        </w:tc>
      </w:tr>
      <w:tr w:rsidR="00292089" w:rsidTr="00B37002">
        <w:tc>
          <w:tcPr>
            <w:tcW w:w="1704" w:type="dxa"/>
            <w:tcBorders>
              <w:top w:val="nil"/>
              <w:left w:val="nil"/>
              <w:bottom w:val="nil"/>
              <w:right w:val="nil"/>
            </w:tcBorders>
          </w:tcPr>
          <w:p w:rsidR="00292089" w:rsidRPr="00B37002" w:rsidRDefault="00292089" w:rsidP="00206351">
            <w:pPr>
              <w:rPr>
                <w:sz w:val="20"/>
                <w:szCs w:val="20"/>
              </w:rPr>
            </w:pPr>
            <w:r w:rsidRPr="00B37002">
              <w:rPr>
                <w:sz w:val="20"/>
                <w:szCs w:val="20"/>
              </w:rPr>
              <w:t>Town Fixed Effects</w:t>
            </w:r>
          </w:p>
        </w:tc>
        <w:tc>
          <w:tcPr>
            <w:tcW w:w="1704" w:type="dxa"/>
            <w:tcBorders>
              <w:top w:val="nil"/>
              <w:left w:val="nil"/>
              <w:bottom w:val="nil"/>
              <w:right w:val="nil"/>
            </w:tcBorders>
          </w:tcPr>
          <w:p w:rsidR="00292089" w:rsidRPr="00B37002" w:rsidRDefault="00292089" w:rsidP="00B37002">
            <w:pPr>
              <w:jc w:val="center"/>
              <w:rPr>
                <w:sz w:val="20"/>
                <w:szCs w:val="20"/>
              </w:rPr>
            </w:pPr>
            <w:r w:rsidRPr="00B37002">
              <w:rPr>
                <w:sz w:val="20"/>
                <w:szCs w:val="20"/>
              </w:rPr>
              <w:t>No</w:t>
            </w:r>
          </w:p>
        </w:tc>
        <w:tc>
          <w:tcPr>
            <w:tcW w:w="1704" w:type="dxa"/>
            <w:tcBorders>
              <w:top w:val="nil"/>
              <w:left w:val="nil"/>
              <w:bottom w:val="nil"/>
              <w:right w:val="nil"/>
            </w:tcBorders>
          </w:tcPr>
          <w:p w:rsidR="00292089" w:rsidRPr="00B37002" w:rsidRDefault="00292089" w:rsidP="00B37002">
            <w:pPr>
              <w:jc w:val="center"/>
              <w:rPr>
                <w:sz w:val="20"/>
                <w:szCs w:val="20"/>
              </w:rPr>
            </w:pPr>
            <w:r w:rsidRPr="00B37002">
              <w:rPr>
                <w:sz w:val="20"/>
                <w:szCs w:val="20"/>
              </w:rPr>
              <w:t>No</w:t>
            </w:r>
          </w:p>
        </w:tc>
        <w:tc>
          <w:tcPr>
            <w:tcW w:w="1705" w:type="dxa"/>
            <w:tcBorders>
              <w:top w:val="nil"/>
              <w:left w:val="nil"/>
              <w:bottom w:val="nil"/>
              <w:right w:val="nil"/>
            </w:tcBorders>
          </w:tcPr>
          <w:p w:rsidR="00292089" w:rsidRPr="00B37002" w:rsidRDefault="00292089" w:rsidP="00B37002">
            <w:pPr>
              <w:jc w:val="center"/>
              <w:rPr>
                <w:sz w:val="20"/>
                <w:szCs w:val="20"/>
              </w:rPr>
            </w:pPr>
            <w:r w:rsidRPr="00B37002">
              <w:rPr>
                <w:sz w:val="20"/>
                <w:szCs w:val="20"/>
              </w:rPr>
              <w:t>No</w:t>
            </w:r>
          </w:p>
        </w:tc>
        <w:tc>
          <w:tcPr>
            <w:tcW w:w="1705" w:type="dxa"/>
            <w:tcBorders>
              <w:top w:val="nil"/>
              <w:left w:val="nil"/>
              <w:bottom w:val="nil"/>
              <w:right w:val="nil"/>
            </w:tcBorders>
          </w:tcPr>
          <w:p w:rsidR="00292089" w:rsidRPr="00B37002" w:rsidRDefault="00292089" w:rsidP="00B37002">
            <w:pPr>
              <w:jc w:val="center"/>
              <w:rPr>
                <w:sz w:val="20"/>
                <w:szCs w:val="20"/>
              </w:rPr>
            </w:pPr>
            <w:r w:rsidRPr="00B37002">
              <w:rPr>
                <w:sz w:val="20"/>
                <w:szCs w:val="20"/>
              </w:rPr>
              <w:t>Yes</w:t>
            </w:r>
          </w:p>
        </w:tc>
      </w:tr>
      <w:tr w:rsidR="00292089" w:rsidTr="00B37002">
        <w:tc>
          <w:tcPr>
            <w:tcW w:w="1704" w:type="dxa"/>
            <w:tcBorders>
              <w:top w:val="nil"/>
              <w:left w:val="nil"/>
              <w:bottom w:val="single" w:sz="4" w:space="0" w:color="auto"/>
              <w:right w:val="nil"/>
            </w:tcBorders>
          </w:tcPr>
          <w:p w:rsidR="00292089" w:rsidRPr="00B37002" w:rsidRDefault="00292089" w:rsidP="00206351">
            <w:pPr>
              <w:rPr>
                <w:sz w:val="20"/>
                <w:szCs w:val="20"/>
              </w:rPr>
            </w:pPr>
          </w:p>
        </w:tc>
        <w:tc>
          <w:tcPr>
            <w:tcW w:w="1704" w:type="dxa"/>
            <w:tcBorders>
              <w:top w:val="nil"/>
              <w:left w:val="nil"/>
              <w:bottom w:val="single" w:sz="4" w:space="0" w:color="auto"/>
              <w:right w:val="nil"/>
            </w:tcBorders>
          </w:tcPr>
          <w:p w:rsidR="00292089" w:rsidRPr="00B37002" w:rsidRDefault="00292089" w:rsidP="00B37002">
            <w:pPr>
              <w:jc w:val="center"/>
              <w:rPr>
                <w:sz w:val="20"/>
                <w:szCs w:val="20"/>
              </w:rPr>
            </w:pPr>
          </w:p>
        </w:tc>
        <w:tc>
          <w:tcPr>
            <w:tcW w:w="1704" w:type="dxa"/>
            <w:tcBorders>
              <w:top w:val="nil"/>
              <w:left w:val="nil"/>
              <w:bottom w:val="single" w:sz="4" w:space="0" w:color="auto"/>
              <w:right w:val="nil"/>
            </w:tcBorders>
          </w:tcPr>
          <w:p w:rsidR="00292089" w:rsidRPr="00B37002" w:rsidRDefault="00292089" w:rsidP="00B37002">
            <w:pPr>
              <w:jc w:val="center"/>
              <w:rPr>
                <w:sz w:val="20"/>
                <w:szCs w:val="20"/>
              </w:rPr>
            </w:pPr>
          </w:p>
        </w:tc>
        <w:tc>
          <w:tcPr>
            <w:tcW w:w="1705" w:type="dxa"/>
            <w:tcBorders>
              <w:top w:val="nil"/>
              <w:left w:val="nil"/>
              <w:bottom w:val="single" w:sz="4" w:space="0" w:color="auto"/>
              <w:right w:val="nil"/>
            </w:tcBorders>
          </w:tcPr>
          <w:p w:rsidR="00292089" w:rsidRPr="00B37002" w:rsidRDefault="00292089" w:rsidP="00B37002">
            <w:pPr>
              <w:jc w:val="center"/>
              <w:rPr>
                <w:sz w:val="20"/>
                <w:szCs w:val="20"/>
              </w:rPr>
            </w:pPr>
          </w:p>
        </w:tc>
        <w:tc>
          <w:tcPr>
            <w:tcW w:w="1705" w:type="dxa"/>
            <w:tcBorders>
              <w:top w:val="nil"/>
              <w:left w:val="nil"/>
              <w:bottom w:val="single" w:sz="4" w:space="0" w:color="auto"/>
              <w:right w:val="nil"/>
            </w:tcBorders>
          </w:tcPr>
          <w:p w:rsidR="00292089" w:rsidRPr="00B37002" w:rsidRDefault="00292089" w:rsidP="00B37002">
            <w:pPr>
              <w:jc w:val="center"/>
              <w:rPr>
                <w:sz w:val="20"/>
                <w:szCs w:val="20"/>
              </w:rPr>
            </w:pPr>
          </w:p>
        </w:tc>
      </w:tr>
      <w:tr w:rsidR="00653ADA" w:rsidTr="00B37002">
        <w:tc>
          <w:tcPr>
            <w:tcW w:w="1704" w:type="dxa"/>
            <w:tcBorders>
              <w:top w:val="single" w:sz="4" w:space="0" w:color="auto"/>
              <w:left w:val="nil"/>
              <w:bottom w:val="nil"/>
              <w:right w:val="nil"/>
            </w:tcBorders>
          </w:tcPr>
          <w:p w:rsidR="00653ADA" w:rsidRPr="00B37002" w:rsidRDefault="00653ADA" w:rsidP="00206351">
            <w:pPr>
              <w:rPr>
                <w:sz w:val="20"/>
                <w:szCs w:val="20"/>
              </w:rPr>
            </w:pPr>
          </w:p>
          <w:p w:rsidR="00653ADA" w:rsidRPr="00B37002" w:rsidRDefault="00653ADA" w:rsidP="00206351">
            <w:pPr>
              <w:rPr>
                <w:sz w:val="20"/>
                <w:szCs w:val="20"/>
              </w:rPr>
            </w:pPr>
            <w:r w:rsidRPr="00B37002">
              <w:rPr>
                <w:sz w:val="20"/>
                <w:szCs w:val="20"/>
              </w:rPr>
              <w:t>Number of Transactions</w:t>
            </w:r>
          </w:p>
        </w:tc>
        <w:tc>
          <w:tcPr>
            <w:tcW w:w="1704" w:type="dxa"/>
            <w:tcBorders>
              <w:top w:val="single" w:sz="4" w:space="0" w:color="auto"/>
              <w:left w:val="nil"/>
              <w:bottom w:val="nil"/>
              <w:right w:val="nil"/>
            </w:tcBorders>
          </w:tcPr>
          <w:p w:rsidR="00653ADA" w:rsidRPr="00B37002" w:rsidRDefault="00653ADA" w:rsidP="00B37002">
            <w:pPr>
              <w:jc w:val="center"/>
              <w:rPr>
                <w:sz w:val="20"/>
                <w:szCs w:val="20"/>
              </w:rPr>
            </w:pPr>
          </w:p>
          <w:p w:rsidR="00653ADA" w:rsidRPr="00B37002" w:rsidRDefault="00653ADA" w:rsidP="00B37002">
            <w:pPr>
              <w:jc w:val="center"/>
              <w:rPr>
                <w:sz w:val="20"/>
                <w:szCs w:val="20"/>
              </w:rPr>
            </w:pPr>
            <w:r w:rsidRPr="00B37002">
              <w:rPr>
                <w:sz w:val="20"/>
                <w:szCs w:val="20"/>
              </w:rPr>
              <w:t>1010052</w:t>
            </w:r>
          </w:p>
        </w:tc>
        <w:tc>
          <w:tcPr>
            <w:tcW w:w="1704" w:type="dxa"/>
            <w:tcBorders>
              <w:top w:val="single" w:sz="4" w:space="0" w:color="auto"/>
              <w:left w:val="nil"/>
              <w:bottom w:val="nil"/>
              <w:right w:val="nil"/>
            </w:tcBorders>
          </w:tcPr>
          <w:p w:rsidR="00653ADA" w:rsidRPr="00B37002" w:rsidRDefault="00653ADA" w:rsidP="00B37002">
            <w:pPr>
              <w:jc w:val="center"/>
              <w:rPr>
                <w:sz w:val="20"/>
                <w:szCs w:val="20"/>
              </w:rPr>
            </w:pPr>
          </w:p>
          <w:p w:rsidR="00653ADA" w:rsidRPr="00B37002" w:rsidRDefault="00653ADA" w:rsidP="00B37002">
            <w:pPr>
              <w:jc w:val="center"/>
              <w:rPr>
                <w:sz w:val="20"/>
                <w:szCs w:val="20"/>
              </w:rPr>
            </w:pPr>
            <w:r w:rsidRPr="00B37002">
              <w:rPr>
                <w:sz w:val="20"/>
                <w:szCs w:val="20"/>
              </w:rPr>
              <w:t>1010052</w:t>
            </w:r>
          </w:p>
        </w:tc>
        <w:tc>
          <w:tcPr>
            <w:tcW w:w="1705" w:type="dxa"/>
            <w:tcBorders>
              <w:top w:val="single" w:sz="4" w:space="0" w:color="auto"/>
              <w:left w:val="nil"/>
              <w:bottom w:val="nil"/>
              <w:right w:val="nil"/>
            </w:tcBorders>
          </w:tcPr>
          <w:p w:rsidR="00653ADA" w:rsidRPr="00B37002" w:rsidRDefault="00653ADA" w:rsidP="00B37002">
            <w:pPr>
              <w:jc w:val="center"/>
              <w:rPr>
                <w:sz w:val="20"/>
                <w:szCs w:val="20"/>
              </w:rPr>
            </w:pPr>
          </w:p>
          <w:p w:rsidR="00653ADA" w:rsidRPr="00B37002" w:rsidRDefault="00653ADA" w:rsidP="00B37002">
            <w:pPr>
              <w:jc w:val="center"/>
              <w:rPr>
                <w:sz w:val="20"/>
                <w:szCs w:val="20"/>
              </w:rPr>
            </w:pPr>
            <w:r w:rsidRPr="00B37002">
              <w:rPr>
                <w:sz w:val="20"/>
                <w:szCs w:val="20"/>
              </w:rPr>
              <w:t>1010052</w:t>
            </w:r>
          </w:p>
        </w:tc>
        <w:tc>
          <w:tcPr>
            <w:tcW w:w="1705" w:type="dxa"/>
            <w:tcBorders>
              <w:top w:val="single" w:sz="4" w:space="0" w:color="auto"/>
              <w:left w:val="nil"/>
              <w:bottom w:val="nil"/>
              <w:right w:val="nil"/>
            </w:tcBorders>
          </w:tcPr>
          <w:p w:rsidR="00653ADA" w:rsidRPr="00B37002" w:rsidRDefault="00653ADA" w:rsidP="00B37002">
            <w:pPr>
              <w:jc w:val="center"/>
              <w:rPr>
                <w:sz w:val="20"/>
                <w:szCs w:val="20"/>
              </w:rPr>
            </w:pPr>
          </w:p>
          <w:p w:rsidR="00653ADA" w:rsidRPr="00B37002" w:rsidRDefault="00653ADA" w:rsidP="00B37002">
            <w:pPr>
              <w:jc w:val="center"/>
              <w:rPr>
                <w:sz w:val="20"/>
                <w:szCs w:val="20"/>
              </w:rPr>
            </w:pPr>
            <w:r w:rsidRPr="00B37002">
              <w:rPr>
                <w:sz w:val="20"/>
                <w:szCs w:val="20"/>
              </w:rPr>
              <w:t>1010052</w:t>
            </w:r>
          </w:p>
        </w:tc>
      </w:tr>
      <w:tr w:rsidR="00653ADA" w:rsidTr="00B37002">
        <w:tc>
          <w:tcPr>
            <w:tcW w:w="1704" w:type="dxa"/>
            <w:tcBorders>
              <w:top w:val="nil"/>
              <w:left w:val="nil"/>
              <w:bottom w:val="nil"/>
              <w:right w:val="nil"/>
            </w:tcBorders>
          </w:tcPr>
          <w:p w:rsidR="00653ADA" w:rsidRPr="00B37002" w:rsidRDefault="00653ADA" w:rsidP="00206351">
            <w:pPr>
              <w:rPr>
                <w:sz w:val="20"/>
                <w:szCs w:val="20"/>
              </w:rPr>
            </w:pPr>
            <w:r w:rsidRPr="00B37002">
              <w:rPr>
                <w:sz w:val="20"/>
                <w:szCs w:val="20"/>
              </w:rPr>
              <w:t>Number of Posctodes</w:t>
            </w:r>
          </w:p>
        </w:tc>
        <w:tc>
          <w:tcPr>
            <w:tcW w:w="1704" w:type="dxa"/>
            <w:tcBorders>
              <w:top w:val="nil"/>
              <w:left w:val="nil"/>
              <w:bottom w:val="nil"/>
              <w:right w:val="nil"/>
            </w:tcBorders>
          </w:tcPr>
          <w:p w:rsidR="00653ADA" w:rsidRPr="00B37002" w:rsidRDefault="00653ADA" w:rsidP="00B37002">
            <w:pPr>
              <w:jc w:val="center"/>
              <w:rPr>
                <w:sz w:val="20"/>
                <w:szCs w:val="20"/>
              </w:rPr>
            </w:pPr>
            <w:r w:rsidRPr="00B37002">
              <w:rPr>
                <w:sz w:val="20"/>
                <w:szCs w:val="20"/>
              </w:rPr>
              <w:t>508929</w:t>
            </w:r>
          </w:p>
        </w:tc>
        <w:tc>
          <w:tcPr>
            <w:tcW w:w="1704" w:type="dxa"/>
            <w:tcBorders>
              <w:top w:val="nil"/>
              <w:left w:val="nil"/>
              <w:bottom w:val="nil"/>
              <w:right w:val="nil"/>
            </w:tcBorders>
          </w:tcPr>
          <w:p w:rsidR="00653ADA" w:rsidRPr="00B37002" w:rsidRDefault="00653ADA" w:rsidP="00B37002">
            <w:pPr>
              <w:jc w:val="center"/>
              <w:rPr>
                <w:sz w:val="20"/>
                <w:szCs w:val="20"/>
              </w:rPr>
            </w:pPr>
            <w:r w:rsidRPr="00B37002">
              <w:rPr>
                <w:sz w:val="20"/>
                <w:szCs w:val="20"/>
              </w:rPr>
              <w:t>508929</w:t>
            </w:r>
          </w:p>
        </w:tc>
        <w:tc>
          <w:tcPr>
            <w:tcW w:w="1705" w:type="dxa"/>
            <w:tcBorders>
              <w:top w:val="nil"/>
              <w:left w:val="nil"/>
              <w:bottom w:val="nil"/>
              <w:right w:val="nil"/>
            </w:tcBorders>
          </w:tcPr>
          <w:p w:rsidR="00653ADA" w:rsidRPr="00B37002" w:rsidRDefault="00653ADA" w:rsidP="00B37002">
            <w:pPr>
              <w:jc w:val="center"/>
              <w:rPr>
                <w:sz w:val="20"/>
                <w:szCs w:val="20"/>
              </w:rPr>
            </w:pPr>
            <w:r w:rsidRPr="00B37002">
              <w:rPr>
                <w:sz w:val="20"/>
                <w:szCs w:val="20"/>
              </w:rPr>
              <w:t>508929</w:t>
            </w:r>
          </w:p>
        </w:tc>
        <w:tc>
          <w:tcPr>
            <w:tcW w:w="1705" w:type="dxa"/>
            <w:tcBorders>
              <w:top w:val="nil"/>
              <w:left w:val="nil"/>
              <w:bottom w:val="nil"/>
              <w:right w:val="nil"/>
            </w:tcBorders>
          </w:tcPr>
          <w:p w:rsidR="00653ADA" w:rsidRPr="00B37002" w:rsidRDefault="00653ADA" w:rsidP="00B37002">
            <w:pPr>
              <w:jc w:val="center"/>
              <w:rPr>
                <w:sz w:val="20"/>
                <w:szCs w:val="20"/>
              </w:rPr>
            </w:pPr>
            <w:r w:rsidRPr="00B37002">
              <w:rPr>
                <w:sz w:val="20"/>
                <w:szCs w:val="20"/>
              </w:rPr>
              <w:t>508929</w:t>
            </w:r>
          </w:p>
        </w:tc>
      </w:tr>
      <w:tr w:rsidR="00653ADA" w:rsidTr="00B37002">
        <w:tc>
          <w:tcPr>
            <w:tcW w:w="1704" w:type="dxa"/>
            <w:tcBorders>
              <w:top w:val="nil"/>
              <w:left w:val="nil"/>
              <w:right w:val="nil"/>
            </w:tcBorders>
          </w:tcPr>
          <w:p w:rsidR="00653ADA" w:rsidRPr="00B37002" w:rsidRDefault="00653ADA" w:rsidP="00206351">
            <w:pPr>
              <w:rPr>
                <w:sz w:val="20"/>
                <w:szCs w:val="20"/>
              </w:rPr>
            </w:pPr>
          </w:p>
        </w:tc>
        <w:tc>
          <w:tcPr>
            <w:tcW w:w="1704" w:type="dxa"/>
            <w:tcBorders>
              <w:top w:val="nil"/>
              <w:left w:val="nil"/>
              <w:right w:val="nil"/>
            </w:tcBorders>
          </w:tcPr>
          <w:p w:rsidR="00653ADA" w:rsidRPr="00B37002" w:rsidRDefault="00653ADA" w:rsidP="00B37002">
            <w:pPr>
              <w:jc w:val="center"/>
              <w:rPr>
                <w:sz w:val="20"/>
                <w:szCs w:val="20"/>
              </w:rPr>
            </w:pPr>
          </w:p>
        </w:tc>
        <w:tc>
          <w:tcPr>
            <w:tcW w:w="1704" w:type="dxa"/>
            <w:tcBorders>
              <w:top w:val="nil"/>
              <w:left w:val="nil"/>
              <w:right w:val="nil"/>
            </w:tcBorders>
          </w:tcPr>
          <w:p w:rsidR="00653ADA" w:rsidRPr="00B37002" w:rsidRDefault="00653ADA" w:rsidP="00B37002">
            <w:pPr>
              <w:jc w:val="center"/>
              <w:rPr>
                <w:sz w:val="20"/>
                <w:szCs w:val="20"/>
              </w:rPr>
            </w:pPr>
          </w:p>
        </w:tc>
        <w:tc>
          <w:tcPr>
            <w:tcW w:w="1705" w:type="dxa"/>
            <w:tcBorders>
              <w:top w:val="nil"/>
              <w:left w:val="nil"/>
              <w:right w:val="nil"/>
            </w:tcBorders>
          </w:tcPr>
          <w:p w:rsidR="00653ADA" w:rsidRPr="00B37002" w:rsidRDefault="00653ADA" w:rsidP="00B37002">
            <w:pPr>
              <w:jc w:val="center"/>
              <w:rPr>
                <w:sz w:val="20"/>
                <w:szCs w:val="20"/>
              </w:rPr>
            </w:pPr>
          </w:p>
        </w:tc>
        <w:tc>
          <w:tcPr>
            <w:tcW w:w="1705" w:type="dxa"/>
            <w:tcBorders>
              <w:top w:val="nil"/>
              <w:left w:val="nil"/>
              <w:right w:val="nil"/>
            </w:tcBorders>
          </w:tcPr>
          <w:p w:rsidR="00653ADA" w:rsidRPr="00B37002" w:rsidRDefault="00653ADA" w:rsidP="00B37002">
            <w:pPr>
              <w:jc w:val="center"/>
              <w:rPr>
                <w:sz w:val="20"/>
                <w:szCs w:val="20"/>
              </w:rPr>
            </w:pPr>
          </w:p>
        </w:tc>
      </w:tr>
    </w:tbl>
    <w:p w:rsidR="00292089" w:rsidRDefault="00292089" w:rsidP="00206351"/>
    <w:p w:rsidR="00126081" w:rsidRDefault="00292089" w:rsidP="00292089">
      <w:pPr>
        <w:jc w:val="both"/>
        <w:rPr>
          <w:sz w:val="20"/>
          <w:szCs w:val="20"/>
        </w:rPr>
      </w:pPr>
      <w:r w:rsidRPr="00292089">
        <w:rPr>
          <w:sz w:val="20"/>
          <w:szCs w:val="20"/>
        </w:rPr>
        <w:t>Notes:</w:t>
      </w:r>
      <w:r>
        <w:rPr>
          <w:sz w:val="20"/>
          <w:szCs w:val="20"/>
        </w:rPr>
        <w:t xml:space="preserve"> Standard errors (clustered on postcode) in parentheses.  The house type controls are: whether detached, flat or semi (relative to terrace); whether freehold; whether new build.</w:t>
      </w:r>
      <w:r w:rsidR="00126081">
        <w:rPr>
          <w:sz w:val="20"/>
          <w:szCs w:val="20"/>
        </w:rPr>
        <w:t xml:space="preserve">  15242 town dummies are included in column (4).</w:t>
      </w:r>
    </w:p>
    <w:p w:rsidR="003235AB" w:rsidRPr="00292089" w:rsidRDefault="003235AB" w:rsidP="00292089">
      <w:pPr>
        <w:jc w:val="both"/>
        <w:rPr>
          <w:sz w:val="20"/>
          <w:szCs w:val="20"/>
        </w:rPr>
      </w:pPr>
      <w:r w:rsidRPr="00292089">
        <w:rPr>
          <w:sz w:val="20"/>
          <w:szCs w:val="20"/>
        </w:rPr>
        <w:br w:type="page"/>
      </w:r>
    </w:p>
    <w:p w:rsidR="00206351" w:rsidRPr="003235AB" w:rsidRDefault="00206351" w:rsidP="003235AB">
      <w:pPr>
        <w:jc w:val="center"/>
        <w:rPr>
          <w:b/>
        </w:rPr>
      </w:pPr>
      <w:r w:rsidRPr="003235AB">
        <w:rPr>
          <w:b/>
        </w:rPr>
        <w:t xml:space="preserve">Table </w:t>
      </w:r>
      <w:r w:rsidR="00581831">
        <w:rPr>
          <w:b/>
        </w:rPr>
        <w:t>7</w:t>
      </w:r>
      <w:r w:rsidRPr="003235AB">
        <w:rPr>
          <w:b/>
        </w:rPr>
        <w:t>. House Prices and School Performance</w:t>
      </w:r>
    </w:p>
    <w:p w:rsidR="003235AB" w:rsidRDefault="003235AB" w:rsidP="00206351"/>
    <w:tbl>
      <w:tblPr>
        <w:tblW w:w="10406" w:type="dxa"/>
        <w:jc w:val="center"/>
        <w:tblInd w:w="-252" w:type="dxa"/>
        <w:tblCellMar>
          <w:left w:w="0" w:type="dxa"/>
          <w:right w:w="0" w:type="dxa"/>
        </w:tblCellMar>
        <w:tblLook w:val="04A0"/>
      </w:tblPr>
      <w:tblGrid>
        <w:gridCol w:w="2748"/>
        <w:gridCol w:w="1498"/>
        <w:gridCol w:w="2090"/>
        <w:gridCol w:w="2200"/>
        <w:gridCol w:w="1870"/>
      </w:tblGrid>
      <w:tr w:rsidR="00DC7AC7" w:rsidRPr="00BE07CF">
        <w:trPr>
          <w:trHeight w:val="371"/>
          <w:jc w:val="center"/>
        </w:trPr>
        <w:tc>
          <w:tcPr>
            <w:tcW w:w="274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p>
        </w:tc>
        <w:tc>
          <w:tcPr>
            <w:tcW w:w="7658" w:type="dxa"/>
            <w:gridSpan w:val="4"/>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Log(House Price) Equations, MCS 3 (2005), Performance Measured by Key Stage 2</w:t>
            </w:r>
            <w:r w:rsidR="000A0D22">
              <w:rPr>
                <w:sz w:val="20"/>
                <w:szCs w:val="20"/>
              </w:rPr>
              <w:t xml:space="preserve"> (KS2)</w:t>
            </w:r>
          </w:p>
        </w:tc>
      </w:tr>
      <w:tr w:rsidR="00DC7AC7" w:rsidRPr="00BE07CF">
        <w:trPr>
          <w:trHeight w:val="319"/>
          <w:jc w:val="center"/>
        </w:trPr>
        <w:tc>
          <w:tcPr>
            <w:tcW w:w="274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p>
        </w:tc>
        <w:tc>
          <w:tcPr>
            <w:tcW w:w="149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w:t>
            </w:r>
          </w:p>
        </w:tc>
        <w:tc>
          <w:tcPr>
            <w:tcW w:w="209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(2)</w:t>
            </w:r>
          </w:p>
        </w:tc>
        <w:tc>
          <w:tcPr>
            <w:tcW w:w="220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(3)</w:t>
            </w:r>
          </w:p>
        </w:tc>
        <w:tc>
          <w:tcPr>
            <w:tcW w:w="187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(4)</w:t>
            </w:r>
          </w:p>
        </w:tc>
      </w:tr>
      <w:tr w:rsidR="00DC7AC7" w:rsidRPr="00BE07CF">
        <w:trPr>
          <w:trHeight w:val="824"/>
          <w:jc w:val="center"/>
        </w:trPr>
        <w:tc>
          <w:tcPr>
            <w:tcW w:w="274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p>
        </w:tc>
        <w:tc>
          <w:tcPr>
            <w:tcW w:w="149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No controls</w:t>
            </w:r>
          </w:p>
        </w:tc>
        <w:tc>
          <w:tcPr>
            <w:tcW w:w="209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 plus individual, house and area characteristics</w:t>
            </w:r>
          </w:p>
        </w:tc>
        <w:tc>
          <w:tcPr>
            <w:tcW w:w="220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 plus postcode sector fixed effects</w:t>
            </w:r>
          </w:p>
        </w:tc>
        <w:tc>
          <w:tcPr>
            <w:tcW w:w="187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(2) plus postcode sector fixed effects</w:t>
            </w:r>
          </w:p>
        </w:tc>
      </w:tr>
      <w:tr w:rsidR="00DC7AC7" w:rsidRPr="00BE07CF">
        <w:trPr>
          <w:trHeight w:val="358"/>
          <w:jc w:val="center"/>
        </w:trPr>
        <w:tc>
          <w:tcPr>
            <w:tcW w:w="2748"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r w:rsidRPr="00743578">
              <w:rPr>
                <w:sz w:val="20"/>
                <w:szCs w:val="20"/>
              </w:rPr>
              <w:t>KS2, 2004</w:t>
            </w:r>
          </w:p>
        </w:tc>
        <w:tc>
          <w:tcPr>
            <w:tcW w:w="1498"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.240 (.012)</w:t>
            </w:r>
          </w:p>
        </w:tc>
        <w:tc>
          <w:tcPr>
            <w:tcW w:w="2090"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.154 (.012)</w:t>
            </w:r>
          </w:p>
        </w:tc>
        <w:tc>
          <w:tcPr>
            <w:tcW w:w="2200"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.091 (.020)</w:t>
            </w:r>
          </w:p>
        </w:tc>
        <w:tc>
          <w:tcPr>
            <w:tcW w:w="1870"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.060 (.018)</w:t>
            </w:r>
          </w:p>
        </w:tc>
      </w:tr>
      <w:tr w:rsidR="00DC7AC7" w:rsidRPr="00BE07CF">
        <w:trPr>
          <w:trHeight w:val="296"/>
          <w:jc w:val="center"/>
        </w:trPr>
        <w:tc>
          <w:tcPr>
            <w:tcW w:w="2748" w:type="dxa"/>
            <w:shd w:val="clear" w:color="auto" w:fill="auto"/>
            <w:tcMar>
              <w:top w:w="72" w:type="dxa"/>
              <w:left w:w="144" w:type="dxa"/>
              <w:bottom w:w="72" w:type="dxa"/>
              <w:right w:w="144" w:type="dxa"/>
            </w:tcMar>
          </w:tcPr>
          <w:p w:rsidR="00DC7AC7" w:rsidRPr="00743578" w:rsidRDefault="00DC7AC7" w:rsidP="00264B74">
            <w:pPr>
              <w:rPr>
                <w:sz w:val="20"/>
                <w:szCs w:val="20"/>
              </w:rPr>
            </w:pPr>
            <w:r w:rsidRPr="00743578">
              <w:rPr>
                <w:sz w:val="20"/>
                <w:szCs w:val="20"/>
              </w:rPr>
              <w:t>R-Squared</w:t>
            </w:r>
          </w:p>
        </w:tc>
        <w:tc>
          <w:tcPr>
            <w:tcW w:w="1498" w:type="dxa"/>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.18</w:t>
            </w:r>
          </w:p>
        </w:tc>
        <w:tc>
          <w:tcPr>
            <w:tcW w:w="2090" w:type="dxa"/>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.38</w:t>
            </w:r>
          </w:p>
        </w:tc>
        <w:tc>
          <w:tcPr>
            <w:tcW w:w="2200" w:type="dxa"/>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.75</w:t>
            </w:r>
          </w:p>
        </w:tc>
        <w:tc>
          <w:tcPr>
            <w:tcW w:w="1870" w:type="dxa"/>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.81</w:t>
            </w:r>
          </w:p>
        </w:tc>
      </w:tr>
      <w:tr w:rsidR="00DC7AC7" w:rsidRPr="00BE07CF">
        <w:trPr>
          <w:trHeight w:val="414"/>
          <w:jc w:val="center"/>
        </w:trPr>
        <w:tc>
          <w:tcPr>
            <w:tcW w:w="2748"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r w:rsidRPr="00743578">
              <w:rPr>
                <w:sz w:val="20"/>
                <w:szCs w:val="20"/>
              </w:rPr>
              <w:t>Sample Size</w:t>
            </w:r>
          </w:p>
        </w:tc>
        <w:tc>
          <w:tcPr>
            <w:tcW w:w="1498"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1888</w:t>
            </w:r>
          </w:p>
        </w:tc>
        <w:tc>
          <w:tcPr>
            <w:tcW w:w="2090"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1885</w:t>
            </w:r>
          </w:p>
        </w:tc>
        <w:tc>
          <w:tcPr>
            <w:tcW w:w="2200"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1888</w:t>
            </w:r>
          </w:p>
        </w:tc>
        <w:tc>
          <w:tcPr>
            <w:tcW w:w="1870"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1885</w:t>
            </w:r>
          </w:p>
        </w:tc>
      </w:tr>
      <w:tr w:rsidR="00DC7AC7" w:rsidRPr="00BE07CF">
        <w:trPr>
          <w:trHeight w:val="309"/>
          <w:jc w:val="center"/>
        </w:trPr>
        <w:tc>
          <w:tcPr>
            <w:tcW w:w="274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p>
        </w:tc>
        <w:tc>
          <w:tcPr>
            <w:tcW w:w="149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Pr>
                <w:sz w:val="20"/>
                <w:szCs w:val="20"/>
              </w:rPr>
              <w:t>(5)</w:t>
            </w:r>
          </w:p>
        </w:tc>
        <w:tc>
          <w:tcPr>
            <w:tcW w:w="209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Pr>
                <w:sz w:val="20"/>
                <w:szCs w:val="20"/>
              </w:rPr>
              <w:t>(6)</w:t>
            </w:r>
          </w:p>
        </w:tc>
        <w:tc>
          <w:tcPr>
            <w:tcW w:w="220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Pr>
                <w:sz w:val="20"/>
                <w:szCs w:val="20"/>
              </w:rPr>
              <w:t>(7)</w:t>
            </w:r>
          </w:p>
        </w:tc>
        <w:tc>
          <w:tcPr>
            <w:tcW w:w="187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Pr>
                <w:sz w:val="20"/>
                <w:szCs w:val="20"/>
              </w:rPr>
              <w:t>(8)</w:t>
            </w:r>
          </w:p>
        </w:tc>
      </w:tr>
      <w:tr w:rsidR="00DC7AC7" w:rsidRPr="00BE07CF">
        <w:trPr>
          <w:trHeight w:val="441"/>
          <w:jc w:val="center"/>
        </w:trPr>
        <w:tc>
          <w:tcPr>
            <w:tcW w:w="274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p>
        </w:tc>
        <w:tc>
          <w:tcPr>
            <w:tcW w:w="149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No controls</w:t>
            </w:r>
          </w:p>
        </w:tc>
        <w:tc>
          <w:tcPr>
            <w:tcW w:w="209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w:t>
            </w:r>
            <w:r>
              <w:rPr>
                <w:sz w:val="20"/>
                <w:szCs w:val="20"/>
              </w:rPr>
              <w:t>5</w:t>
            </w:r>
            <w:r w:rsidRPr="00743578">
              <w:rPr>
                <w:sz w:val="20"/>
                <w:szCs w:val="20"/>
              </w:rPr>
              <w:t>) plus individual, house and area characteristics</w:t>
            </w:r>
          </w:p>
        </w:tc>
        <w:tc>
          <w:tcPr>
            <w:tcW w:w="220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w:t>
            </w:r>
            <w:r>
              <w:rPr>
                <w:sz w:val="20"/>
                <w:szCs w:val="20"/>
              </w:rPr>
              <w:t>5</w:t>
            </w:r>
            <w:r w:rsidRPr="00743578">
              <w:rPr>
                <w:sz w:val="20"/>
                <w:szCs w:val="20"/>
              </w:rPr>
              <w:t>) plus postcode sector fixed effects</w:t>
            </w:r>
          </w:p>
        </w:tc>
        <w:tc>
          <w:tcPr>
            <w:tcW w:w="187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w:t>
            </w:r>
            <w:r>
              <w:rPr>
                <w:sz w:val="20"/>
                <w:szCs w:val="20"/>
              </w:rPr>
              <w:t>6</w:t>
            </w:r>
            <w:r w:rsidRPr="00743578">
              <w:rPr>
                <w:sz w:val="20"/>
                <w:szCs w:val="20"/>
              </w:rPr>
              <w:t>) plus postcode sector fixed effects</w:t>
            </w:r>
          </w:p>
        </w:tc>
      </w:tr>
      <w:tr w:rsidR="00DC7AC7" w:rsidRPr="00BE07CF">
        <w:trPr>
          <w:trHeight w:val="441"/>
          <w:jc w:val="center"/>
        </w:trPr>
        <w:tc>
          <w:tcPr>
            <w:tcW w:w="2748"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r w:rsidRPr="00743578">
              <w:rPr>
                <w:sz w:val="20"/>
                <w:szCs w:val="20"/>
              </w:rPr>
              <w:t>KS2, Averaged (2003, 2004)</w:t>
            </w:r>
          </w:p>
        </w:tc>
        <w:tc>
          <w:tcPr>
            <w:tcW w:w="1498"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.254 (.011)</w:t>
            </w:r>
          </w:p>
        </w:tc>
        <w:tc>
          <w:tcPr>
            <w:tcW w:w="2090"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.171 (.012)</w:t>
            </w:r>
          </w:p>
        </w:tc>
        <w:tc>
          <w:tcPr>
            <w:tcW w:w="2200"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.093 (.020)</w:t>
            </w:r>
          </w:p>
        </w:tc>
        <w:tc>
          <w:tcPr>
            <w:tcW w:w="1870"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.053 (.018)</w:t>
            </w:r>
          </w:p>
        </w:tc>
      </w:tr>
      <w:tr w:rsidR="00DC7AC7" w:rsidRPr="00BE07CF">
        <w:trPr>
          <w:trHeight w:val="335"/>
          <w:jc w:val="center"/>
        </w:trPr>
        <w:tc>
          <w:tcPr>
            <w:tcW w:w="2748" w:type="dxa"/>
            <w:shd w:val="clear" w:color="auto" w:fill="auto"/>
            <w:tcMar>
              <w:top w:w="72" w:type="dxa"/>
              <w:left w:w="144" w:type="dxa"/>
              <w:bottom w:w="72" w:type="dxa"/>
              <w:right w:w="144" w:type="dxa"/>
            </w:tcMar>
          </w:tcPr>
          <w:p w:rsidR="00DC7AC7" w:rsidRPr="00743578" w:rsidRDefault="00DC7AC7" w:rsidP="00264B74">
            <w:pPr>
              <w:rPr>
                <w:sz w:val="20"/>
                <w:szCs w:val="20"/>
              </w:rPr>
            </w:pPr>
            <w:r w:rsidRPr="00743578">
              <w:rPr>
                <w:sz w:val="20"/>
                <w:szCs w:val="20"/>
              </w:rPr>
              <w:t>R-Squared</w:t>
            </w:r>
          </w:p>
        </w:tc>
        <w:tc>
          <w:tcPr>
            <w:tcW w:w="1498" w:type="dxa"/>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.21</w:t>
            </w:r>
          </w:p>
        </w:tc>
        <w:tc>
          <w:tcPr>
            <w:tcW w:w="2090" w:type="dxa"/>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.40</w:t>
            </w:r>
          </w:p>
        </w:tc>
        <w:tc>
          <w:tcPr>
            <w:tcW w:w="2200" w:type="dxa"/>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.75</w:t>
            </w:r>
          </w:p>
        </w:tc>
        <w:tc>
          <w:tcPr>
            <w:tcW w:w="1870" w:type="dxa"/>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.81</w:t>
            </w:r>
          </w:p>
        </w:tc>
      </w:tr>
      <w:tr w:rsidR="00DC7AC7" w:rsidRPr="00BE07CF">
        <w:trPr>
          <w:trHeight w:val="286"/>
          <w:jc w:val="center"/>
        </w:trPr>
        <w:tc>
          <w:tcPr>
            <w:tcW w:w="2748"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r w:rsidRPr="00743578">
              <w:rPr>
                <w:sz w:val="20"/>
                <w:szCs w:val="20"/>
              </w:rPr>
              <w:t>Sample Size</w:t>
            </w:r>
          </w:p>
        </w:tc>
        <w:tc>
          <w:tcPr>
            <w:tcW w:w="1498"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1864</w:t>
            </w:r>
          </w:p>
        </w:tc>
        <w:tc>
          <w:tcPr>
            <w:tcW w:w="2090"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1861</w:t>
            </w:r>
          </w:p>
        </w:tc>
        <w:tc>
          <w:tcPr>
            <w:tcW w:w="2200"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1864</w:t>
            </w:r>
          </w:p>
        </w:tc>
        <w:tc>
          <w:tcPr>
            <w:tcW w:w="1870"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1861</w:t>
            </w:r>
          </w:p>
        </w:tc>
      </w:tr>
    </w:tbl>
    <w:p w:rsidR="00DC7AC7" w:rsidRDefault="00DC7AC7" w:rsidP="00206351"/>
    <w:p w:rsidR="00DC7AC7" w:rsidRPr="00861B0B" w:rsidRDefault="00861B0B" w:rsidP="00861B0B">
      <w:pPr>
        <w:ind w:left="-1021"/>
        <w:rPr>
          <w:sz w:val="20"/>
          <w:szCs w:val="20"/>
        </w:rPr>
      </w:pPr>
      <w:r w:rsidRPr="00861B0B">
        <w:rPr>
          <w:sz w:val="20"/>
          <w:szCs w:val="20"/>
        </w:rPr>
        <w:t xml:space="preserve">Notes: Standard errors </w:t>
      </w:r>
      <w:r w:rsidR="005F7297">
        <w:rPr>
          <w:sz w:val="20"/>
          <w:szCs w:val="20"/>
        </w:rPr>
        <w:t xml:space="preserve">clustered on postcode </w:t>
      </w:r>
      <w:r w:rsidRPr="00861B0B">
        <w:rPr>
          <w:sz w:val="20"/>
          <w:szCs w:val="20"/>
        </w:rPr>
        <w:t>in parentheses.</w:t>
      </w:r>
    </w:p>
    <w:p w:rsidR="00206351" w:rsidRPr="00DC7AC7" w:rsidRDefault="00DC7AC7" w:rsidP="00DC7AC7">
      <w:pPr>
        <w:jc w:val="center"/>
        <w:rPr>
          <w:b/>
          <w:lang w:val="en-US"/>
        </w:rPr>
      </w:pPr>
      <w:r>
        <w:rPr>
          <w:lang w:val="en-US"/>
        </w:rPr>
        <w:br w:type="page"/>
      </w:r>
      <w:r w:rsidR="00206351" w:rsidRPr="00DC7AC7">
        <w:rPr>
          <w:b/>
          <w:lang w:val="en-US"/>
        </w:rPr>
        <w:lastRenderedPageBreak/>
        <w:t xml:space="preserve">Table </w:t>
      </w:r>
      <w:r w:rsidR="00581831">
        <w:rPr>
          <w:b/>
          <w:lang w:val="en-US"/>
        </w:rPr>
        <w:t>8</w:t>
      </w:r>
      <w:r w:rsidR="00206351" w:rsidRPr="00DC7AC7">
        <w:rPr>
          <w:b/>
          <w:lang w:val="en-US"/>
        </w:rPr>
        <w:t>. House Prices and</w:t>
      </w:r>
      <w:r w:rsidR="000A0D22">
        <w:rPr>
          <w:b/>
          <w:lang w:val="en-US"/>
        </w:rPr>
        <w:t xml:space="preserve"> School Performance Using V</w:t>
      </w:r>
      <w:r w:rsidR="004E272B">
        <w:rPr>
          <w:b/>
          <w:lang w:val="en-US"/>
        </w:rPr>
        <w:t>alue</w:t>
      </w:r>
      <w:r w:rsidR="000A0D22">
        <w:rPr>
          <w:b/>
          <w:lang w:val="en-US"/>
        </w:rPr>
        <w:t xml:space="preserve"> Added M</w:t>
      </w:r>
      <w:r w:rsidR="00206351" w:rsidRPr="00DC7AC7">
        <w:rPr>
          <w:b/>
          <w:lang w:val="en-US"/>
        </w:rPr>
        <w:t>easures</w:t>
      </w:r>
    </w:p>
    <w:p w:rsidR="00206351" w:rsidRDefault="00206351" w:rsidP="00206351">
      <w:pPr>
        <w:rPr>
          <w:lang w:val="en-US"/>
        </w:rPr>
      </w:pPr>
    </w:p>
    <w:tbl>
      <w:tblPr>
        <w:tblW w:w="10406" w:type="dxa"/>
        <w:jc w:val="center"/>
        <w:tblInd w:w="-252" w:type="dxa"/>
        <w:tblCellMar>
          <w:left w:w="0" w:type="dxa"/>
          <w:right w:w="0" w:type="dxa"/>
        </w:tblCellMar>
        <w:tblLook w:val="04A0"/>
      </w:tblPr>
      <w:tblGrid>
        <w:gridCol w:w="2748"/>
        <w:gridCol w:w="1498"/>
        <w:gridCol w:w="2090"/>
        <w:gridCol w:w="2200"/>
        <w:gridCol w:w="1870"/>
      </w:tblGrid>
      <w:tr w:rsidR="00DC7AC7" w:rsidRPr="00BE07CF">
        <w:trPr>
          <w:trHeight w:val="371"/>
          <w:jc w:val="center"/>
        </w:trPr>
        <w:tc>
          <w:tcPr>
            <w:tcW w:w="274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p>
        </w:tc>
        <w:tc>
          <w:tcPr>
            <w:tcW w:w="7658" w:type="dxa"/>
            <w:gridSpan w:val="4"/>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Log(House Price) Equations, MCS 3 (2005), Performance Measured by Key Stage</w:t>
            </w:r>
            <w:r>
              <w:rPr>
                <w:sz w:val="20"/>
                <w:szCs w:val="20"/>
              </w:rPr>
              <w:t xml:space="preserve">1 to </w:t>
            </w:r>
            <w:r w:rsidRPr="00743578">
              <w:rPr>
                <w:sz w:val="20"/>
                <w:szCs w:val="20"/>
              </w:rPr>
              <w:t xml:space="preserve"> 2</w:t>
            </w:r>
            <w:r>
              <w:rPr>
                <w:sz w:val="20"/>
                <w:szCs w:val="20"/>
              </w:rPr>
              <w:t xml:space="preserve"> Value Added</w:t>
            </w:r>
            <w:r w:rsidR="000A0D22">
              <w:rPr>
                <w:sz w:val="20"/>
                <w:szCs w:val="20"/>
              </w:rPr>
              <w:t xml:space="preserve"> (VA)</w:t>
            </w:r>
          </w:p>
        </w:tc>
      </w:tr>
      <w:tr w:rsidR="00DC7AC7" w:rsidRPr="00BE07CF">
        <w:trPr>
          <w:trHeight w:val="319"/>
          <w:jc w:val="center"/>
        </w:trPr>
        <w:tc>
          <w:tcPr>
            <w:tcW w:w="274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p>
        </w:tc>
        <w:tc>
          <w:tcPr>
            <w:tcW w:w="149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w:t>
            </w:r>
          </w:p>
        </w:tc>
        <w:tc>
          <w:tcPr>
            <w:tcW w:w="209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(2)</w:t>
            </w:r>
          </w:p>
        </w:tc>
        <w:tc>
          <w:tcPr>
            <w:tcW w:w="220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(3)</w:t>
            </w:r>
          </w:p>
        </w:tc>
        <w:tc>
          <w:tcPr>
            <w:tcW w:w="187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(4)</w:t>
            </w:r>
          </w:p>
        </w:tc>
      </w:tr>
      <w:tr w:rsidR="00DC7AC7" w:rsidRPr="00BE07CF">
        <w:trPr>
          <w:trHeight w:val="824"/>
          <w:jc w:val="center"/>
        </w:trPr>
        <w:tc>
          <w:tcPr>
            <w:tcW w:w="274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p>
        </w:tc>
        <w:tc>
          <w:tcPr>
            <w:tcW w:w="149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No controls</w:t>
            </w:r>
          </w:p>
        </w:tc>
        <w:tc>
          <w:tcPr>
            <w:tcW w:w="209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 plus individual, house and area characteristics</w:t>
            </w:r>
          </w:p>
        </w:tc>
        <w:tc>
          <w:tcPr>
            <w:tcW w:w="220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 plus postcode sector fixed effects</w:t>
            </w:r>
          </w:p>
        </w:tc>
        <w:tc>
          <w:tcPr>
            <w:tcW w:w="187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(2) plus postcode sector fixed effects</w:t>
            </w:r>
          </w:p>
        </w:tc>
      </w:tr>
      <w:tr w:rsidR="00DC7AC7" w:rsidRPr="00BE07CF">
        <w:trPr>
          <w:trHeight w:val="358"/>
          <w:jc w:val="center"/>
        </w:trPr>
        <w:tc>
          <w:tcPr>
            <w:tcW w:w="2748"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r>
              <w:rPr>
                <w:sz w:val="20"/>
                <w:szCs w:val="20"/>
              </w:rPr>
              <w:t>VA</w:t>
            </w:r>
            <w:r w:rsidRPr="00743578">
              <w:rPr>
                <w:sz w:val="20"/>
                <w:szCs w:val="20"/>
              </w:rPr>
              <w:t>, 2004</w:t>
            </w:r>
          </w:p>
        </w:tc>
        <w:tc>
          <w:tcPr>
            <w:tcW w:w="1498"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w:t>
            </w:r>
            <w:r>
              <w:rPr>
                <w:sz w:val="20"/>
                <w:szCs w:val="20"/>
              </w:rPr>
              <w:t>115</w:t>
            </w:r>
            <w:r w:rsidRPr="00743578">
              <w:rPr>
                <w:sz w:val="20"/>
                <w:szCs w:val="20"/>
              </w:rPr>
              <w:t xml:space="preserve"> (.01</w:t>
            </w:r>
            <w:r>
              <w:rPr>
                <w:sz w:val="20"/>
                <w:szCs w:val="20"/>
              </w:rPr>
              <w:t>3</w:t>
            </w:r>
            <w:r w:rsidRPr="00743578">
              <w:rPr>
                <w:sz w:val="20"/>
                <w:szCs w:val="20"/>
              </w:rPr>
              <w:t>)</w:t>
            </w:r>
          </w:p>
        </w:tc>
        <w:tc>
          <w:tcPr>
            <w:tcW w:w="2090"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w:t>
            </w:r>
            <w:r>
              <w:rPr>
                <w:sz w:val="20"/>
                <w:szCs w:val="20"/>
              </w:rPr>
              <w:t>085</w:t>
            </w:r>
            <w:r w:rsidRPr="00743578">
              <w:rPr>
                <w:sz w:val="20"/>
                <w:szCs w:val="20"/>
              </w:rPr>
              <w:t xml:space="preserve"> (.01</w:t>
            </w:r>
            <w:r>
              <w:rPr>
                <w:sz w:val="20"/>
                <w:szCs w:val="20"/>
              </w:rPr>
              <w:t>1</w:t>
            </w:r>
            <w:r w:rsidRPr="00743578">
              <w:rPr>
                <w:sz w:val="20"/>
                <w:szCs w:val="20"/>
              </w:rPr>
              <w:t>)</w:t>
            </w:r>
          </w:p>
        </w:tc>
        <w:tc>
          <w:tcPr>
            <w:tcW w:w="2200"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.0</w:t>
            </w:r>
            <w:r>
              <w:rPr>
                <w:sz w:val="20"/>
                <w:szCs w:val="20"/>
              </w:rPr>
              <w:t>17</w:t>
            </w:r>
            <w:r w:rsidRPr="00743578">
              <w:rPr>
                <w:sz w:val="20"/>
                <w:szCs w:val="20"/>
              </w:rPr>
              <w:t xml:space="preserve"> (.0</w:t>
            </w:r>
            <w:r>
              <w:rPr>
                <w:sz w:val="20"/>
                <w:szCs w:val="20"/>
              </w:rPr>
              <w:t>19</w:t>
            </w:r>
            <w:r w:rsidRPr="00743578">
              <w:rPr>
                <w:sz w:val="20"/>
                <w:szCs w:val="20"/>
              </w:rPr>
              <w:t>)</w:t>
            </w:r>
          </w:p>
        </w:tc>
        <w:tc>
          <w:tcPr>
            <w:tcW w:w="1870"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.0</w:t>
            </w:r>
            <w:r>
              <w:rPr>
                <w:sz w:val="20"/>
                <w:szCs w:val="20"/>
              </w:rPr>
              <w:t>21</w:t>
            </w:r>
            <w:r w:rsidRPr="00743578">
              <w:rPr>
                <w:sz w:val="20"/>
                <w:szCs w:val="20"/>
              </w:rPr>
              <w:t xml:space="preserve"> (.018)</w:t>
            </w:r>
          </w:p>
        </w:tc>
      </w:tr>
      <w:tr w:rsidR="00DC7AC7" w:rsidRPr="00BE07CF">
        <w:trPr>
          <w:trHeight w:val="296"/>
          <w:jc w:val="center"/>
        </w:trPr>
        <w:tc>
          <w:tcPr>
            <w:tcW w:w="2748" w:type="dxa"/>
            <w:shd w:val="clear" w:color="auto" w:fill="auto"/>
            <w:tcMar>
              <w:top w:w="72" w:type="dxa"/>
              <w:left w:w="144" w:type="dxa"/>
              <w:bottom w:w="72" w:type="dxa"/>
              <w:right w:w="144" w:type="dxa"/>
            </w:tcMar>
          </w:tcPr>
          <w:p w:rsidR="00DC7AC7" w:rsidRPr="00743578" w:rsidRDefault="00DC7AC7" w:rsidP="00264B74">
            <w:pPr>
              <w:rPr>
                <w:sz w:val="20"/>
                <w:szCs w:val="20"/>
              </w:rPr>
            </w:pPr>
            <w:r w:rsidRPr="00743578">
              <w:rPr>
                <w:sz w:val="20"/>
                <w:szCs w:val="20"/>
              </w:rPr>
              <w:t>R-Squared</w:t>
            </w:r>
          </w:p>
        </w:tc>
        <w:tc>
          <w:tcPr>
            <w:tcW w:w="1498" w:type="dxa"/>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w:t>
            </w:r>
            <w:r>
              <w:rPr>
                <w:sz w:val="20"/>
                <w:szCs w:val="20"/>
              </w:rPr>
              <w:t>04</w:t>
            </w:r>
          </w:p>
        </w:tc>
        <w:tc>
          <w:tcPr>
            <w:tcW w:w="2090" w:type="dxa"/>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.3</w:t>
            </w:r>
            <w:r>
              <w:rPr>
                <w:sz w:val="20"/>
                <w:szCs w:val="20"/>
              </w:rPr>
              <w:t>4</w:t>
            </w:r>
          </w:p>
        </w:tc>
        <w:tc>
          <w:tcPr>
            <w:tcW w:w="2200" w:type="dxa"/>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.75</w:t>
            </w:r>
          </w:p>
        </w:tc>
        <w:tc>
          <w:tcPr>
            <w:tcW w:w="1870" w:type="dxa"/>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.81</w:t>
            </w:r>
          </w:p>
        </w:tc>
      </w:tr>
      <w:tr w:rsidR="00DC7AC7" w:rsidRPr="00BE07CF">
        <w:trPr>
          <w:trHeight w:val="414"/>
          <w:jc w:val="center"/>
        </w:trPr>
        <w:tc>
          <w:tcPr>
            <w:tcW w:w="2748"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r w:rsidRPr="00743578">
              <w:rPr>
                <w:sz w:val="20"/>
                <w:szCs w:val="20"/>
              </w:rPr>
              <w:t>Sample Size</w:t>
            </w:r>
          </w:p>
        </w:tc>
        <w:tc>
          <w:tcPr>
            <w:tcW w:w="1498"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1888</w:t>
            </w:r>
          </w:p>
        </w:tc>
        <w:tc>
          <w:tcPr>
            <w:tcW w:w="2090"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1885</w:t>
            </w:r>
          </w:p>
        </w:tc>
        <w:tc>
          <w:tcPr>
            <w:tcW w:w="2200"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1888</w:t>
            </w:r>
          </w:p>
        </w:tc>
        <w:tc>
          <w:tcPr>
            <w:tcW w:w="1870"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1885</w:t>
            </w:r>
          </w:p>
        </w:tc>
      </w:tr>
      <w:tr w:rsidR="00DC7AC7" w:rsidRPr="00BE07CF">
        <w:trPr>
          <w:trHeight w:val="309"/>
          <w:jc w:val="center"/>
        </w:trPr>
        <w:tc>
          <w:tcPr>
            <w:tcW w:w="274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p>
        </w:tc>
        <w:tc>
          <w:tcPr>
            <w:tcW w:w="149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Pr>
                <w:sz w:val="20"/>
                <w:szCs w:val="20"/>
              </w:rPr>
              <w:t>(5)</w:t>
            </w:r>
          </w:p>
        </w:tc>
        <w:tc>
          <w:tcPr>
            <w:tcW w:w="209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Pr>
                <w:sz w:val="20"/>
                <w:szCs w:val="20"/>
              </w:rPr>
              <w:t>(6)</w:t>
            </w:r>
          </w:p>
        </w:tc>
        <w:tc>
          <w:tcPr>
            <w:tcW w:w="220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Pr>
                <w:sz w:val="20"/>
                <w:szCs w:val="20"/>
              </w:rPr>
              <w:t>(7)</w:t>
            </w:r>
          </w:p>
        </w:tc>
        <w:tc>
          <w:tcPr>
            <w:tcW w:w="187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Pr>
                <w:sz w:val="20"/>
                <w:szCs w:val="20"/>
              </w:rPr>
              <w:t>(8)</w:t>
            </w:r>
          </w:p>
        </w:tc>
      </w:tr>
      <w:tr w:rsidR="00DC7AC7" w:rsidRPr="00BE07CF">
        <w:trPr>
          <w:trHeight w:val="441"/>
          <w:jc w:val="center"/>
        </w:trPr>
        <w:tc>
          <w:tcPr>
            <w:tcW w:w="274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p>
        </w:tc>
        <w:tc>
          <w:tcPr>
            <w:tcW w:w="1498"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No controls</w:t>
            </w:r>
          </w:p>
        </w:tc>
        <w:tc>
          <w:tcPr>
            <w:tcW w:w="209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w:t>
            </w:r>
            <w:r>
              <w:rPr>
                <w:sz w:val="20"/>
                <w:szCs w:val="20"/>
              </w:rPr>
              <w:t>5</w:t>
            </w:r>
            <w:r w:rsidRPr="00743578">
              <w:rPr>
                <w:sz w:val="20"/>
                <w:szCs w:val="20"/>
              </w:rPr>
              <w:t>) plus individual, house and area characteristics</w:t>
            </w:r>
          </w:p>
        </w:tc>
        <w:tc>
          <w:tcPr>
            <w:tcW w:w="220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w:t>
            </w:r>
            <w:r>
              <w:rPr>
                <w:sz w:val="20"/>
                <w:szCs w:val="20"/>
              </w:rPr>
              <w:t>5</w:t>
            </w:r>
            <w:r w:rsidRPr="00743578">
              <w:rPr>
                <w:sz w:val="20"/>
                <w:szCs w:val="20"/>
              </w:rPr>
              <w:t>) plus postcode sector fixed effects</w:t>
            </w:r>
          </w:p>
        </w:tc>
        <w:tc>
          <w:tcPr>
            <w:tcW w:w="1870" w:type="dxa"/>
            <w:tcBorders>
              <w:top w:val="single" w:sz="8" w:space="0" w:color="000000"/>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w:t>
            </w:r>
            <w:r>
              <w:rPr>
                <w:sz w:val="20"/>
                <w:szCs w:val="20"/>
              </w:rPr>
              <w:t>6</w:t>
            </w:r>
            <w:r w:rsidRPr="00743578">
              <w:rPr>
                <w:sz w:val="20"/>
                <w:szCs w:val="20"/>
              </w:rPr>
              <w:t>) plus postcode sector fixed effects</w:t>
            </w:r>
          </w:p>
        </w:tc>
      </w:tr>
      <w:tr w:rsidR="00DC7AC7" w:rsidRPr="00BE07CF">
        <w:trPr>
          <w:trHeight w:val="441"/>
          <w:jc w:val="center"/>
        </w:trPr>
        <w:tc>
          <w:tcPr>
            <w:tcW w:w="2748"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r>
              <w:rPr>
                <w:sz w:val="20"/>
                <w:szCs w:val="20"/>
              </w:rPr>
              <w:t>VA</w:t>
            </w:r>
            <w:r w:rsidRPr="00743578">
              <w:rPr>
                <w:sz w:val="20"/>
                <w:szCs w:val="20"/>
              </w:rPr>
              <w:t>, Averaged (2003, 2004)</w:t>
            </w:r>
          </w:p>
        </w:tc>
        <w:tc>
          <w:tcPr>
            <w:tcW w:w="1498" w:type="dxa"/>
            <w:tcBorders>
              <w:top w:val="single" w:sz="8" w:space="0" w:color="000000"/>
            </w:tcBorders>
            <w:shd w:val="clear" w:color="auto" w:fill="auto"/>
            <w:tcMar>
              <w:top w:w="72" w:type="dxa"/>
              <w:left w:w="144" w:type="dxa"/>
              <w:bottom w:w="72" w:type="dxa"/>
              <w:right w:w="144" w:type="dxa"/>
            </w:tcMar>
          </w:tcPr>
          <w:p w:rsidR="00DC7AC7" w:rsidRPr="00743578" w:rsidRDefault="004E272B" w:rsidP="00264B74">
            <w:pPr>
              <w:jc w:val="center"/>
              <w:rPr>
                <w:sz w:val="20"/>
                <w:szCs w:val="20"/>
              </w:rPr>
            </w:pPr>
            <w:r>
              <w:rPr>
                <w:sz w:val="20"/>
                <w:szCs w:val="20"/>
              </w:rPr>
              <w:t>.1</w:t>
            </w:r>
            <w:r w:rsidR="00DC7AC7">
              <w:rPr>
                <w:sz w:val="20"/>
                <w:szCs w:val="20"/>
              </w:rPr>
              <w:t>25</w:t>
            </w:r>
            <w:r w:rsidR="00DC7AC7" w:rsidRPr="00743578">
              <w:rPr>
                <w:sz w:val="20"/>
                <w:szCs w:val="20"/>
              </w:rPr>
              <w:t xml:space="preserve"> (.01</w:t>
            </w:r>
            <w:r w:rsidR="00DC7AC7">
              <w:rPr>
                <w:sz w:val="20"/>
                <w:szCs w:val="20"/>
              </w:rPr>
              <w:t>3</w:t>
            </w:r>
            <w:r w:rsidR="00DC7AC7" w:rsidRPr="00743578">
              <w:rPr>
                <w:sz w:val="20"/>
                <w:szCs w:val="20"/>
              </w:rPr>
              <w:t>)</w:t>
            </w:r>
          </w:p>
        </w:tc>
        <w:tc>
          <w:tcPr>
            <w:tcW w:w="2090"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w:t>
            </w:r>
            <w:r>
              <w:rPr>
                <w:sz w:val="20"/>
                <w:szCs w:val="20"/>
              </w:rPr>
              <w:t>088</w:t>
            </w:r>
            <w:r w:rsidRPr="00743578">
              <w:rPr>
                <w:sz w:val="20"/>
                <w:szCs w:val="20"/>
              </w:rPr>
              <w:t xml:space="preserve"> (.01</w:t>
            </w:r>
            <w:r>
              <w:rPr>
                <w:sz w:val="20"/>
                <w:szCs w:val="20"/>
              </w:rPr>
              <w:t>1</w:t>
            </w:r>
            <w:r w:rsidRPr="00743578">
              <w:rPr>
                <w:sz w:val="20"/>
                <w:szCs w:val="20"/>
              </w:rPr>
              <w:t>)</w:t>
            </w:r>
          </w:p>
        </w:tc>
        <w:tc>
          <w:tcPr>
            <w:tcW w:w="2200"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.0</w:t>
            </w:r>
            <w:r>
              <w:rPr>
                <w:sz w:val="20"/>
                <w:szCs w:val="20"/>
              </w:rPr>
              <w:t>31</w:t>
            </w:r>
            <w:r w:rsidRPr="00743578">
              <w:rPr>
                <w:sz w:val="20"/>
                <w:szCs w:val="20"/>
              </w:rPr>
              <w:t xml:space="preserve"> (.0</w:t>
            </w:r>
            <w:r>
              <w:rPr>
                <w:sz w:val="20"/>
                <w:szCs w:val="20"/>
              </w:rPr>
              <w:t>18</w:t>
            </w:r>
            <w:r w:rsidRPr="00743578">
              <w:rPr>
                <w:sz w:val="20"/>
                <w:szCs w:val="20"/>
              </w:rPr>
              <w:t>)</w:t>
            </w:r>
          </w:p>
        </w:tc>
        <w:tc>
          <w:tcPr>
            <w:tcW w:w="1870" w:type="dxa"/>
            <w:tcBorders>
              <w:top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.0</w:t>
            </w:r>
            <w:r>
              <w:rPr>
                <w:sz w:val="20"/>
                <w:szCs w:val="20"/>
              </w:rPr>
              <w:t>23</w:t>
            </w:r>
            <w:r w:rsidRPr="00743578">
              <w:rPr>
                <w:sz w:val="20"/>
                <w:szCs w:val="20"/>
              </w:rPr>
              <w:t xml:space="preserve"> (.01</w:t>
            </w:r>
            <w:r>
              <w:rPr>
                <w:sz w:val="20"/>
                <w:szCs w:val="20"/>
              </w:rPr>
              <w:t>7</w:t>
            </w:r>
            <w:r w:rsidRPr="00743578">
              <w:rPr>
                <w:sz w:val="20"/>
                <w:szCs w:val="20"/>
              </w:rPr>
              <w:t>)</w:t>
            </w:r>
          </w:p>
        </w:tc>
      </w:tr>
      <w:tr w:rsidR="00DC7AC7" w:rsidRPr="00BE07CF">
        <w:trPr>
          <w:trHeight w:val="335"/>
          <w:jc w:val="center"/>
        </w:trPr>
        <w:tc>
          <w:tcPr>
            <w:tcW w:w="2748" w:type="dxa"/>
            <w:shd w:val="clear" w:color="auto" w:fill="auto"/>
            <w:tcMar>
              <w:top w:w="72" w:type="dxa"/>
              <w:left w:w="144" w:type="dxa"/>
              <w:bottom w:w="72" w:type="dxa"/>
              <w:right w:w="144" w:type="dxa"/>
            </w:tcMar>
          </w:tcPr>
          <w:p w:rsidR="00DC7AC7" w:rsidRPr="00743578" w:rsidRDefault="00DC7AC7" w:rsidP="00264B74">
            <w:pPr>
              <w:rPr>
                <w:sz w:val="20"/>
                <w:szCs w:val="20"/>
              </w:rPr>
            </w:pPr>
            <w:r w:rsidRPr="00743578">
              <w:rPr>
                <w:sz w:val="20"/>
                <w:szCs w:val="20"/>
              </w:rPr>
              <w:t>R-Squared</w:t>
            </w:r>
          </w:p>
        </w:tc>
        <w:tc>
          <w:tcPr>
            <w:tcW w:w="1498" w:type="dxa"/>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w:t>
            </w:r>
            <w:r>
              <w:rPr>
                <w:sz w:val="20"/>
                <w:szCs w:val="20"/>
              </w:rPr>
              <w:t>05</w:t>
            </w:r>
          </w:p>
        </w:tc>
        <w:tc>
          <w:tcPr>
            <w:tcW w:w="2090" w:type="dxa"/>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w:t>
            </w:r>
            <w:r>
              <w:rPr>
                <w:sz w:val="20"/>
                <w:szCs w:val="20"/>
              </w:rPr>
              <w:t>35</w:t>
            </w:r>
          </w:p>
        </w:tc>
        <w:tc>
          <w:tcPr>
            <w:tcW w:w="2200" w:type="dxa"/>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.75</w:t>
            </w:r>
          </w:p>
        </w:tc>
        <w:tc>
          <w:tcPr>
            <w:tcW w:w="1870" w:type="dxa"/>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.81</w:t>
            </w:r>
          </w:p>
        </w:tc>
      </w:tr>
      <w:tr w:rsidR="00DC7AC7" w:rsidRPr="00BE07CF">
        <w:trPr>
          <w:trHeight w:val="286"/>
          <w:jc w:val="center"/>
        </w:trPr>
        <w:tc>
          <w:tcPr>
            <w:tcW w:w="2748"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rPr>
                <w:sz w:val="20"/>
                <w:szCs w:val="20"/>
              </w:rPr>
            </w:pPr>
            <w:r w:rsidRPr="00743578">
              <w:rPr>
                <w:sz w:val="20"/>
                <w:szCs w:val="20"/>
              </w:rPr>
              <w:t>Sample Size</w:t>
            </w:r>
          </w:p>
        </w:tc>
        <w:tc>
          <w:tcPr>
            <w:tcW w:w="1498"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186</w:t>
            </w:r>
            <w:r>
              <w:rPr>
                <w:sz w:val="20"/>
                <w:szCs w:val="20"/>
              </w:rPr>
              <w:t>8</w:t>
            </w:r>
          </w:p>
        </w:tc>
        <w:tc>
          <w:tcPr>
            <w:tcW w:w="2090"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186</w:t>
            </w:r>
            <w:r>
              <w:rPr>
                <w:sz w:val="20"/>
                <w:szCs w:val="20"/>
              </w:rPr>
              <w:t>5</w:t>
            </w:r>
          </w:p>
        </w:tc>
        <w:tc>
          <w:tcPr>
            <w:tcW w:w="2200"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186</w:t>
            </w:r>
            <w:r>
              <w:rPr>
                <w:sz w:val="20"/>
                <w:szCs w:val="20"/>
              </w:rPr>
              <w:t>8</w:t>
            </w:r>
          </w:p>
        </w:tc>
        <w:tc>
          <w:tcPr>
            <w:tcW w:w="1870" w:type="dxa"/>
            <w:tcBorders>
              <w:bottom w:val="single" w:sz="8" w:space="0" w:color="000000"/>
            </w:tcBorders>
            <w:shd w:val="clear" w:color="auto" w:fill="auto"/>
            <w:tcMar>
              <w:top w:w="72" w:type="dxa"/>
              <w:left w:w="144" w:type="dxa"/>
              <w:bottom w:w="72" w:type="dxa"/>
              <w:right w:w="144" w:type="dxa"/>
            </w:tcMar>
          </w:tcPr>
          <w:p w:rsidR="00DC7AC7" w:rsidRPr="00743578" w:rsidRDefault="00DC7AC7" w:rsidP="00264B74">
            <w:pPr>
              <w:jc w:val="center"/>
              <w:rPr>
                <w:sz w:val="20"/>
                <w:szCs w:val="20"/>
              </w:rPr>
            </w:pPr>
            <w:r w:rsidRPr="00743578">
              <w:rPr>
                <w:sz w:val="20"/>
                <w:szCs w:val="20"/>
              </w:rPr>
              <w:t>186</w:t>
            </w:r>
            <w:r>
              <w:rPr>
                <w:sz w:val="20"/>
                <w:szCs w:val="20"/>
              </w:rPr>
              <w:t>5</w:t>
            </w:r>
          </w:p>
        </w:tc>
      </w:tr>
    </w:tbl>
    <w:p w:rsidR="00861B0B" w:rsidRDefault="00861B0B" w:rsidP="00861B0B"/>
    <w:p w:rsidR="00861B0B" w:rsidRPr="00861B0B" w:rsidRDefault="00861B0B" w:rsidP="00861B0B">
      <w:pPr>
        <w:ind w:left="-1021"/>
        <w:rPr>
          <w:sz w:val="20"/>
          <w:szCs w:val="20"/>
        </w:rPr>
      </w:pPr>
      <w:r w:rsidRPr="00861B0B">
        <w:rPr>
          <w:sz w:val="20"/>
          <w:szCs w:val="20"/>
        </w:rPr>
        <w:t xml:space="preserve">Notes: Standard errors </w:t>
      </w:r>
      <w:r w:rsidR="005F7297">
        <w:rPr>
          <w:sz w:val="20"/>
          <w:szCs w:val="20"/>
        </w:rPr>
        <w:t xml:space="preserve">clustered on postcode </w:t>
      </w:r>
      <w:r w:rsidRPr="00861B0B">
        <w:rPr>
          <w:sz w:val="20"/>
          <w:szCs w:val="20"/>
        </w:rPr>
        <w:t>in parentheses.</w:t>
      </w:r>
    </w:p>
    <w:p w:rsidR="00DC7AC7" w:rsidRDefault="004E272B" w:rsidP="004E272B">
      <w:pPr>
        <w:jc w:val="center"/>
        <w:rPr>
          <w:lang w:val="en-US"/>
        </w:rPr>
      </w:pPr>
      <w:r>
        <w:rPr>
          <w:lang w:val="en-US"/>
        </w:rPr>
        <w:br w:type="page"/>
      </w:r>
      <w:r w:rsidRPr="00DC7AC7">
        <w:rPr>
          <w:b/>
          <w:lang w:val="en-US"/>
        </w:rPr>
        <w:lastRenderedPageBreak/>
        <w:t xml:space="preserve">Table </w:t>
      </w:r>
      <w:r w:rsidR="00581831">
        <w:rPr>
          <w:b/>
          <w:lang w:val="en-US"/>
        </w:rPr>
        <w:t>9</w:t>
      </w:r>
      <w:r w:rsidR="00292089">
        <w:rPr>
          <w:b/>
          <w:lang w:val="en-US"/>
        </w:rPr>
        <w:t xml:space="preserve">. </w:t>
      </w:r>
      <w:r w:rsidRPr="00DC7AC7">
        <w:rPr>
          <w:b/>
          <w:lang w:val="en-US"/>
        </w:rPr>
        <w:t>House Prices and</w:t>
      </w:r>
      <w:r w:rsidR="000A0D22">
        <w:rPr>
          <w:b/>
          <w:lang w:val="en-US"/>
        </w:rPr>
        <w:t xml:space="preserve"> School Performance Using Key Stage 2 and V</w:t>
      </w:r>
      <w:r>
        <w:rPr>
          <w:b/>
          <w:lang w:val="en-US"/>
        </w:rPr>
        <w:t>alue</w:t>
      </w:r>
      <w:r w:rsidR="000A0D22">
        <w:rPr>
          <w:b/>
          <w:lang w:val="en-US"/>
        </w:rPr>
        <w:t xml:space="preserve"> Added M</w:t>
      </w:r>
      <w:r w:rsidRPr="00DC7AC7">
        <w:rPr>
          <w:b/>
          <w:lang w:val="en-US"/>
        </w:rPr>
        <w:t>easures</w:t>
      </w:r>
    </w:p>
    <w:p w:rsidR="00206351" w:rsidRDefault="00206351" w:rsidP="00206351"/>
    <w:tbl>
      <w:tblPr>
        <w:tblW w:w="10406" w:type="dxa"/>
        <w:jc w:val="center"/>
        <w:tblInd w:w="-252" w:type="dxa"/>
        <w:tblCellMar>
          <w:left w:w="0" w:type="dxa"/>
          <w:right w:w="0" w:type="dxa"/>
        </w:tblCellMar>
        <w:tblLook w:val="04A0"/>
      </w:tblPr>
      <w:tblGrid>
        <w:gridCol w:w="2748"/>
        <w:gridCol w:w="1498"/>
        <w:gridCol w:w="2090"/>
        <w:gridCol w:w="2200"/>
        <w:gridCol w:w="1870"/>
      </w:tblGrid>
      <w:tr w:rsidR="004E272B" w:rsidRPr="00BE07CF">
        <w:trPr>
          <w:trHeight w:val="371"/>
          <w:jc w:val="center"/>
        </w:trPr>
        <w:tc>
          <w:tcPr>
            <w:tcW w:w="2748"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rPr>
                <w:sz w:val="20"/>
                <w:szCs w:val="20"/>
              </w:rPr>
            </w:pPr>
          </w:p>
        </w:tc>
        <w:tc>
          <w:tcPr>
            <w:tcW w:w="7658" w:type="dxa"/>
            <w:gridSpan w:val="4"/>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 xml:space="preserve">Log(House Price) Equations, MCS 3 (2005), Performance Measured by </w:t>
            </w:r>
            <w:r w:rsidR="000A0D22">
              <w:rPr>
                <w:sz w:val="20"/>
                <w:szCs w:val="20"/>
              </w:rPr>
              <w:t xml:space="preserve">Key Stage 2 (KS2) and </w:t>
            </w:r>
            <w:r w:rsidRPr="00743578">
              <w:rPr>
                <w:sz w:val="20"/>
                <w:szCs w:val="20"/>
              </w:rPr>
              <w:t>Key Stage</w:t>
            </w:r>
            <w:r>
              <w:rPr>
                <w:sz w:val="20"/>
                <w:szCs w:val="20"/>
              </w:rPr>
              <w:t xml:space="preserve">1 to </w:t>
            </w:r>
            <w:r w:rsidRPr="00743578">
              <w:rPr>
                <w:sz w:val="20"/>
                <w:szCs w:val="20"/>
              </w:rPr>
              <w:t xml:space="preserve"> 2</w:t>
            </w:r>
            <w:r>
              <w:rPr>
                <w:sz w:val="20"/>
                <w:szCs w:val="20"/>
              </w:rPr>
              <w:t xml:space="preserve"> Value Added</w:t>
            </w:r>
            <w:r w:rsidR="000A0D22">
              <w:rPr>
                <w:sz w:val="20"/>
                <w:szCs w:val="20"/>
              </w:rPr>
              <w:t xml:space="preserve"> (VA)</w:t>
            </w:r>
          </w:p>
        </w:tc>
      </w:tr>
      <w:tr w:rsidR="004E272B" w:rsidRPr="00BE07CF">
        <w:trPr>
          <w:trHeight w:val="319"/>
          <w:jc w:val="center"/>
        </w:trPr>
        <w:tc>
          <w:tcPr>
            <w:tcW w:w="2748"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rPr>
                <w:sz w:val="20"/>
                <w:szCs w:val="20"/>
              </w:rPr>
            </w:pPr>
          </w:p>
        </w:tc>
        <w:tc>
          <w:tcPr>
            <w:tcW w:w="1498"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(1)</w:t>
            </w:r>
          </w:p>
        </w:tc>
        <w:tc>
          <w:tcPr>
            <w:tcW w:w="2090"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(2)</w:t>
            </w:r>
          </w:p>
        </w:tc>
        <w:tc>
          <w:tcPr>
            <w:tcW w:w="2200"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(3)</w:t>
            </w:r>
          </w:p>
        </w:tc>
        <w:tc>
          <w:tcPr>
            <w:tcW w:w="1870"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(4)</w:t>
            </w:r>
          </w:p>
        </w:tc>
      </w:tr>
      <w:tr w:rsidR="004E272B" w:rsidRPr="00BE07CF">
        <w:trPr>
          <w:trHeight w:val="824"/>
          <w:jc w:val="center"/>
        </w:trPr>
        <w:tc>
          <w:tcPr>
            <w:tcW w:w="2748"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rPr>
                <w:sz w:val="20"/>
                <w:szCs w:val="20"/>
              </w:rPr>
            </w:pPr>
          </w:p>
        </w:tc>
        <w:tc>
          <w:tcPr>
            <w:tcW w:w="1498"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No controls</w:t>
            </w:r>
          </w:p>
        </w:tc>
        <w:tc>
          <w:tcPr>
            <w:tcW w:w="2090"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(1) plus individual, house and area characteristics</w:t>
            </w:r>
          </w:p>
        </w:tc>
        <w:tc>
          <w:tcPr>
            <w:tcW w:w="2200"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(1) plus postcode sector fixed effects</w:t>
            </w:r>
          </w:p>
        </w:tc>
        <w:tc>
          <w:tcPr>
            <w:tcW w:w="1870"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(2) plus postcode sector fixed effects</w:t>
            </w:r>
          </w:p>
        </w:tc>
      </w:tr>
      <w:tr w:rsidR="004E272B" w:rsidRPr="00BE07CF">
        <w:trPr>
          <w:trHeight w:val="358"/>
          <w:jc w:val="center"/>
        </w:trPr>
        <w:tc>
          <w:tcPr>
            <w:tcW w:w="2748" w:type="dxa"/>
            <w:tcBorders>
              <w:top w:val="single" w:sz="8" w:space="0" w:color="000000"/>
            </w:tcBorders>
            <w:shd w:val="clear" w:color="auto" w:fill="auto"/>
            <w:tcMar>
              <w:top w:w="72" w:type="dxa"/>
              <w:left w:w="144" w:type="dxa"/>
              <w:bottom w:w="72" w:type="dxa"/>
              <w:right w:w="144" w:type="dxa"/>
            </w:tcMar>
          </w:tcPr>
          <w:p w:rsidR="004E272B" w:rsidRDefault="004E272B" w:rsidP="00264B74">
            <w:pPr>
              <w:rPr>
                <w:sz w:val="20"/>
                <w:szCs w:val="20"/>
              </w:rPr>
            </w:pPr>
          </w:p>
          <w:p w:rsidR="004E272B" w:rsidRDefault="004E272B" w:rsidP="00264B74">
            <w:pPr>
              <w:rPr>
                <w:sz w:val="20"/>
                <w:szCs w:val="20"/>
              </w:rPr>
            </w:pPr>
            <w:r>
              <w:rPr>
                <w:sz w:val="20"/>
                <w:szCs w:val="20"/>
              </w:rPr>
              <w:t>KS2, 2004</w:t>
            </w:r>
          </w:p>
        </w:tc>
        <w:tc>
          <w:tcPr>
            <w:tcW w:w="1498" w:type="dxa"/>
            <w:tcBorders>
              <w:top w:val="single" w:sz="8" w:space="0" w:color="000000"/>
            </w:tcBorders>
            <w:shd w:val="clear" w:color="auto" w:fill="auto"/>
            <w:tcMar>
              <w:top w:w="72" w:type="dxa"/>
              <w:left w:w="144" w:type="dxa"/>
              <w:bottom w:w="72" w:type="dxa"/>
              <w:right w:w="144" w:type="dxa"/>
            </w:tcMar>
          </w:tcPr>
          <w:p w:rsidR="004E272B" w:rsidRDefault="004E272B" w:rsidP="00264B74">
            <w:pPr>
              <w:jc w:val="center"/>
              <w:rPr>
                <w:sz w:val="20"/>
                <w:szCs w:val="20"/>
              </w:rPr>
            </w:pPr>
          </w:p>
          <w:p w:rsidR="004E272B" w:rsidRPr="00743578" w:rsidRDefault="004E272B" w:rsidP="00264B74">
            <w:pPr>
              <w:jc w:val="center"/>
              <w:rPr>
                <w:sz w:val="20"/>
                <w:szCs w:val="20"/>
              </w:rPr>
            </w:pPr>
            <w:r>
              <w:rPr>
                <w:sz w:val="20"/>
                <w:szCs w:val="20"/>
              </w:rPr>
              <w:t>.273 (.015)</w:t>
            </w:r>
          </w:p>
        </w:tc>
        <w:tc>
          <w:tcPr>
            <w:tcW w:w="2090" w:type="dxa"/>
            <w:tcBorders>
              <w:top w:val="single" w:sz="8" w:space="0" w:color="000000"/>
            </w:tcBorders>
            <w:shd w:val="clear" w:color="auto" w:fill="auto"/>
            <w:tcMar>
              <w:top w:w="72" w:type="dxa"/>
              <w:left w:w="144" w:type="dxa"/>
              <w:bottom w:w="72" w:type="dxa"/>
              <w:right w:w="144" w:type="dxa"/>
            </w:tcMar>
          </w:tcPr>
          <w:p w:rsidR="004E272B" w:rsidRDefault="004E272B" w:rsidP="00264B74">
            <w:pPr>
              <w:jc w:val="center"/>
              <w:rPr>
                <w:sz w:val="20"/>
                <w:szCs w:val="20"/>
              </w:rPr>
            </w:pPr>
          </w:p>
          <w:p w:rsidR="004E272B" w:rsidRPr="00743578" w:rsidRDefault="004E272B" w:rsidP="00264B74">
            <w:pPr>
              <w:jc w:val="center"/>
              <w:rPr>
                <w:sz w:val="20"/>
                <w:szCs w:val="20"/>
              </w:rPr>
            </w:pPr>
            <w:r>
              <w:rPr>
                <w:sz w:val="20"/>
                <w:szCs w:val="20"/>
              </w:rPr>
              <w:t>.161 (.015)</w:t>
            </w:r>
          </w:p>
        </w:tc>
        <w:tc>
          <w:tcPr>
            <w:tcW w:w="2200" w:type="dxa"/>
            <w:tcBorders>
              <w:top w:val="single" w:sz="8" w:space="0" w:color="000000"/>
            </w:tcBorders>
            <w:shd w:val="clear" w:color="auto" w:fill="auto"/>
            <w:tcMar>
              <w:top w:w="72" w:type="dxa"/>
              <w:left w:w="144" w:type="dxa"/>
              <w:bottom w:w="72" w:type="dxa"/>
              <w:right w:w="144" w:type="dxa"/>
            </w:tcMar>
          </w:tcPr>
          <w:p w:rsidR="004E272B" w:rsidRDefault="004E272B" w:rsidP="00264B74">
            <w:pPr>
              <w:jc w:val="center"/>
              <w:rPr>
                <w:sz w:val="20"/>
                <w:szCs w:val="20"/>
              </w:rPr>
            </w:pPr>
          </w:p>
          <w:p w:rsidR="004E272B" w:rsidRPr="00743578" w:rsidRDefault="004E272B" w:rsidP="00264B74">
            <w:pPr>
              <w:jc w:val="center"/>
              <w:rPr>
                <w:sz w:val="20"/>
                <w:szCs w:val="20"/>
              </w:rPr>
            </w:pPr>
            <w:r>
              <w:rPr>
                <w:sz w:val="20"/>
                <w:szCs w:val="20"/>
              </w:rPr>
              <w:t>.125 (.025)</w:t>
            </w:r>
          </w:p>
        </w:tc>
        <w:tc>
          <w:tcPr>
            <w:tcW w:w="1870" w:type="dxa"/>
            <w:tcBorders>
              <w:top w:val="single" w:sz="8" w:space="0" w:color="000000"/>
            </w:tcBorders>
            <w:shd w:val="clear" w:color="auto" w:fill="auto"/>
            <w:tcMar>
              <w:top w:w="72" w:type="dxa"/>
              <w:left w:w="144" w:type="dxa"/>
              <w:bottom w:w="72" w:type="dxa"/>
              <w:right w:w="144" w:type="dxa"/>
            </w:tcMar>
          </w:tcPr>
          <w:p w:rsidR="004E272B" w:rsidRDefault="004E272B" w:rsidP="00264B74">
            <w:pPr>
              <w:jc w:val="center"/>
              <w:rPr>
                <w:sz w:val="20"/>
                <w:szCs w:val="20"/>
              </w:rPr>
            </w:pPr>
          </w:p>
          <w:p w:rsidR="004E272B" w:rsidRPr="00743578" w:rsidRDefault="004E272B" w:rsidP="00264B74">
            <w:pPr>
              <w:jc w:val="center"/>
              <w:rPr>
                <w:sz w:val="20"/>
                <w:szCs w:val="20"/>
              </w:rPr>
            </w:pPr>
            <w:r>
              <w:rPr>
                <w:sz w:val="20"/>
                <w:szCs w:val="20"/>
              </w:rPr>
              <w:t>.072 (.023)</w:t>
            </w:r>
          </w:p>
        </w:tc>
      </w:tr>
      <w:tr w:rsidR="004E272B" w:rsidRPr="00BE07CF">
        <w:trPr>
          <w:trHeight w:val="358"/>
          <w:jc w:val="center"/>
        </w:trPr>
        <w:tc>
          <w:tcPr>
            <w:tcW w:w="2748" w:type="dxa"/>
            <w:shd w:val="clear" w:color="auto" w:fill="auto"/>
            <w:tcMar>
              <w:top w:w="72" w:type="dxa"/>
              <w:left w:w="144" w:type="dxa"/>
              <w:bottom w:w="72" w:type="dxa"/>
              <w:right w:w="144" w:type="dxa"/>
            </w:tcMar>
          </w:tcPr>
          <w:p w:rsidR="004E272B" w:rsidRPr="00743578" w:rsidRDefault="004E272B" w:rsidP="00264B74">
            <w:pPr>
              <w:rPr>
                <w:sz w:val="20"/>
                <w:szCs w:val="20"/>
              </w:rPr>
            </w:pPr>
            <w:r>
              <w:rPr>
                <w:sz w:val="20"/>
                <w:szCs w:val="20"/>
              </w:rPr>
              <w:t>VA</w:t>
            </w:r>
            <w:r w:rsidRPr="00743578">
              <w:rPr>
                <w:sz w:val="20"/>
                <w:szCs w:val="20"/>
              </w:rPr>
              <w:t>, 2004</w:t>
            </w:r>
          </w:p>
        </w:tc>
        <w:tc>
          <w:tcPr>
            <w:tcW w:w="1498" w:type="dxa"/>
            <w:shd w:val="clear" w:color="auto" w:fill="auto"/>
            <w:tcMar>
              <w:top w:w="72" w:type="dxa"/>
              <w:left w:w="144" w:type="dxa"/>
              <w:bottom w:w="72" w:type="dxa"/>
              <w:right w:w="144" w:type="dxa"/>
            </w:tcMar>
          </w:tcPr>
          <w:p w:rsidR="004E272B" w:rsidRPr="00743578" w:rsidRDefault="004E272B" w:rsidP="00264B74">
            <w:pPr>
              <w:jc w:val="center"/>
              <w:rPr>
                <w:sz w:val="20"/>
                <w:szCs w:val="20"/>
              </w:rPr>
            </w:pPr>
            <w:r>
              <w:rPr>
                <w:sz w:val="20"/>
                <w:szCs w:val="20"/>
              </w:rPr>
              <w:t xml:space="preserve">-.056 </w:t>
            </w:r>
            <w:r w:rsidRPr="00743578">
              <w:rPr>
                <w:sz w:val="20"/>
                <w:szCs w:val="20"/>
              </w:rPr>
              <w:t>(.01</w:t>
            </w:r>
            <w:r>
              <w:rPr>
                <w:sz w:val="20"/>
                <w:szCs w:val="20"/>
              </w:rPr>
              <w:t>5</w:t>
            </w:r>
            <w:r w:rsidRPr="00743578">
              <w:rPr>
                <w:sz w:val="20"/>
                <w:szCs w:val="20"/>
              </w:rPr>
              <w:t>)</w:t>
            </w:r>
          </w:p>
        </w:tc>
        <w:tc>
          <w:tcPr>
            <w:tcW w:w="2090" w:type="dxa"/>
            <w:shd w:val="clear" w:color="auto" w:fill="auto"/>
            <w:tcMar>
              <w:top w:w="72" w:type="dxa"/>
              <w:left w:w="144" w:type="dxa"/>
              <w:bottom w:w="72" w:type="dxa"/>
              <w:right w:w="144" w:type="dxa"/>
            </w:tcMar>
          </w:tcPr>
          <w:p w:rsidR="004E272B" w:rsidRPr="00743578" w:rsidRDefault="004E272B" w:rsidP="00264B74">
            <w:pPr>
              <w:jc w:val="center"/>
              <w:rPr>
                <w:sz w:val="20"/>
                <w:szCs w:val="20"/>
              </w:rPr>
            </w:pPr>
            <w:r>
              <w:rPr>
                <w:sz w:val="20"/>
                <w:szCs w:val="20"/>
              </w:rPr>
              <w:t>-.010</w:t>
            </w:r>
            <w:r w:rsidRPr="00743578">
              <w:rPr>
                <w:sz w:val="20"/>
                <w:szCs w:val="20"/>
              </w:rPr>
              <w:t xml:space="preserve"> (.01</w:t>
            </w:r>
            <w:r>
              <w:rPr>
                <w:sz w:val="20"/>
                <w:szCs w:val="20"/>
              </w:rPr>
              <w:t>4</w:t>
            </w:r>
            <w:r w:rsidRPr="00743578">
              <w:rPr>
                <w:sz w:val="20"/>
                <w:szCs w:val="20"/>
              </w:rPr>
              <w:t>)</w:t>
            </w:r>
          </w:p>
        </w:tc>
        <w:tc>
          <w:tcPr>
            <w:tcW w:w="2200" w:type="dxa"/>
            <w:shd w:val="clear" w:color="auto" w:fill="auto"/>
            <w:tcMar>
              <w:top w:w="72" w:type="dxa"/>
              <w:left w:w="144" w:type="dxa"/>
              <w:bottom w:w="72" w:type="dxa"/>
              <w:right w:w="144" w:type="dxa"/>
            </w:tcMar>
          </w:tcPr>
          <w:p w:rsidR="004E272B" w:rsidRPr="00743578" w:rsidRDefault="004E272B" w:rsidP="00264B74">
            <w:pPr>
              <w:jc w:val="center"/>
              <w:rPr>
                <w:sz w:val="20"/>
                <w:szCs w:val="20"/>
              </w:rPr>
            </w:pPr>
            <w:r>
              <w:rPr>
                <w:sz w:val="20"/>
                <w:szCs w:val="20"/>
              </w:rPr>
              <w:t>-.047</w:t>
            </w:r>
            <w:r w:rsidRPr="00743578">
              <w:rPr>
                <w:sz w:val="20"/>
                <w:szCs w:val="20"/>
              </w:rPr>
              <w:t xml:space="preserve"> (.0</w:t>
            </w:r>
            <w:r>
              <w:rPr>
                <w:sz w:val="20"/>
                <w:szCs w:val="20"/>
              </w:rPr>
              <w:t>21</w:t>
            </w:r>
            <w:r w:rsidRPr="00743578">
              <w:rPr>
                <w:sz w:val="20"/>
                <w:szCs w:val="20"/>
              </w:rPr>
              <w:t>)</w:t>
            </w:r>
          </w:p>
        </w:tc>
        <w:tc>
          <w:tcPr>
            <w:tcW w:w="1870" w:type="dxa"/>
            <w:shd w:val="clear" w:color="auto" w:fill="auto"/>
            <w:tcMar>
              <w:top w:w="72" w:type="dxa"/>
              <w:left w:w="144" w:type="dxa"/>
              <w:bottom w:w="72" w:type="dxa"/>
              <w:right w:w="144" w:type="dxa"/>
            </w:tcMar>
          </w:tcPr>
          <w:p w:rsidR="004E272B" w:rsidRPr="00743578" w:rsidRDefault="004E272B" w:rsidP="00264B74">
            <w:pPr>
              <w:jc w:val="center"/>
              <w:rPr>
                <w:sz w:val="20"/>
                <w:szCs w:val="20"/>
              </w:rPr>
            </w:pPr>
            <w:r>
              <w:rPr>
                <w:sz w:val="20"/>
                <w:szCs w:val="20"/>
              </w:rPr>
              <w:t>-.016 (.019</w:t>
            </w:r>
            <w:r w:rsidRPr="00743578">
              <w:rPr>
                <w:sz w:val="20"/>
                <w:szCs w:val="20"/>
              </w:rPr>
              <w:t>)</w:t>
            </w:r>
          </w:p>
        </w:tc>
      </w:tr>
      <w:tr w:rsidR="004E272B" w:rsidRPr="00BE07CF">
        <w:trPr>
          <w:trHeight w:val="296"/>
          <w:jc w:val="center"/>
        </w:trPr>
        <w:tc>
          <w:tcPr>
            <w:tcW w:w="2748" w:type="dxa"/>
            <w:shd w:val="clear" w:color="auto" w:fill="auto"/>
            <w:tcMar>
              <w:top w:w="72" w:type="dxa"/>
              <w:left w:w="144" w:type="dxa"/>
              <w:bottom w:w="72" w:type="dxa"/>
              <w:right w:w="144" w:type="dxa"/>
            </w:tcMar>
          </w:tcPr>
          <w:p w:rsidR="004E272B" w:rsidRPr="00743578" w:rsidRDefault="004E272B" w:rsidP="00264B74">
            <w:pPr>
              <w:rPr>
                <w:sz w:val="20"/>
                <w:szCs w:val="20"/>
              </w:rPr>
            </w:pPr>
            <w:r w:rsidRPr="00743578">
              <w:rPr>
                <w:sz w:val="20"/>
                <w:szCs w:val="20"/>
              </w:rPr>
              <w:t>R-Squared</w:t>
            </w:r>
          </w:p>
        </w:tc>
        <w:tc>
          <w:tcPr>
            <w:tcW w:w="1498" w:type="dxa"/>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w:t>
            </w:r>
            <w:r>
              <w:rPr>
                <w:sz w:val="20"/>
                <w:szCs w:val="20"/>
              </w:rPr>
              <w:t>18</w:t>
            </w:r>
          </w:p>
        </w:tc>
        <w:tc>
          <w:tcPr>
            <w:tcW w:w="2090" w:type="dxa"/>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.3</w:t>
            </w:r>
            <w:r>
              <w:rPr>
                <w:sz w:val="20"/>
                <w:szCs w:val="20"/>
              </w:rPr>
              <w:t>8</w:t>
            </w:r>
          </w:p>
        </w:tc>
        <w:tc>
          <w:tcPr>
            <w:tcW w:w="2200" w:type="dxa"/>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.75</w:t>
            </w:r>
          </w:p>
        </w:tc>
        <w:tc>
          <w:tcPr>
            <w:tcW w:w="1870" w:type="dxa"/>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.81</w:t>
            </w:r>
          </w:p>
        </w:tc>
      </w:tr>
      <w:tr w:rsidR="004E272B" w:rsidRPr="00BE07CF">
        <w:trPr>
          <w:trHeight w:val="414"/>
          <w:jc w:val="center"/>
        </w:trPr>
        <w:tc>
          <w:tcPr>
            <w:tcW w:w="2748" w:type="dxa"/>
            <w:tcBorders>
              <w:bottom w:val="single" w:sz="8" w:space="0" w:color="000000"/>
            </w:tcBorders>
            <w:shd w:val="clear" w:color="auto" w:fill="auto"/>
            <w:tcMar>
              <w:top w:w="72" w:type="dxa"/>
              <w:left w:w="144" w:type="dxa"/>
              <w:bottom w:w="72" w:type="dxa"/>
              <w:right w:w="144" w:type="dxa"/>
            </w:tcMar>
          </w:tcPr>
          <w:p w:rsidR="004E272B" w:rsidRPr="00743578" w:rsidRDefault="004E272B" w:rsidP="00264B74">
            <w:pPr>
              <w:rPr>
                <w:sz w:val="20"/>
                <w:szCs w:val="20"/>
              </w:rPr>
            </w:pPr>
            <w:r w:rsidRPr="00743578">
              <w:rPr>
                <w:sz w:val="20"/>
                <w:szCs w:val="20"/>
              </w:rPr>
              <w:t>Sample Size</w:t>
            </w:r>
          </w:p>
        </w:tc>
        <w:tc>
          <w:tcPr>
            <w:tcW w:w="1498" w:type="dxa"/>
            <w:tcBorders>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1888</w:t>
            </w:r>
          </w:p>
        </w:tc>
        <w:tc>
          <w:tcPr>
            <w:tcW w:w="2090" w:type="dxa"/>
            <w:tcBorders>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1885</w:t>
            </w:r>
          </w:p>
        </w:tc>
        <w:tc>
          <w:tcPr>
            <w:tcW w:w="2200" w:type="dxa"/>
            <w:tcBorders>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1888</w:t>
            </w:r>
          </w:p>
        </w:tc>
        <w:tc>
          <w:tcPr>
            <w:tcW w:w="1870" w:type="dxa"/>
            <w:tcBorders>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1885</w:t>
            </w:r>
          </w:p>
        </w:tc>
      </w:tr>
      <w:tr w:rsidR="004E272B" w:rsidRPr="00BE07CF">
        <w:trPr>
          <w:trHeight w:val="309"/>
          <w:jc w:val="center"/>
        </w:trPr>
        <w:tc>
          <w:tcPr>
            <w:tcW w:w="2748"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rPr>
                <w:sz w:val="20"/>
                <w:szCs w:val="20"/>
              </w:rPr>
            </w:pPr>
          </w:p>
        </w:tc>
        <w:tc>
          <w:tcPr>
            <w:tcW w:w="1498"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Pr>
                <w:sz w:val="20"/>
                <w:szCs w:val="20"/>
              </w:rPr>
              <w:t>(5)</w:t>
            </w:r>
          </w:p>
        </w:tc>
        <w:tc>
          <w:tcPr>
            <w:tcW w:w="2090"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Pr>
                <w:sz w:val="20"/>
                <w:szCs w:val="20"/>
              </w:rPr>
              <w:t>(6)</w:t>
            </w:r>
          </w:p>
        </w:tc>
        <w:tc>
          <w:tcPr>
            <w:tcW w:w="2200"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Pr>
                <w:sz w:val="20"/>
                <w:szCs w:val="20"/>
              </w:rPr>
              <w:t>(7)</w:t>
            </w:r>
          </w:p>
        </w:tc>
        <w:tc>
          <w:tcPr>
            <w:tcW w:w="1870"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Pr>
                <w:sz w:val="20"/>
                <w:szCs w:val="20"/>
              </w:rPr>
              <w:t>(8)</w:t>
            </w:r>
          </w:p>
        </w:tc>
      </w:tr>
      <w:tr w:rsidR="004E272B" w:rsidRPr="00BE07CF">
        <w:trPr>
          <w:trHeight w:val="441"/>
          <w:jc w:val="center"/>
        </w:trPr>
        <w:tc>
          <w:tcPr>
            <w:tcW w:w="2748"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rPr>
                <w:sz w:val="20"/>
                <w:szCs w:val="20"/>
              </w:rPr>
            </w:pPr>
          </w:p>
        </w:tc>
        <w:tc>
          <w:tcPr>
            <w:tcW w:w="1498"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No controls</w:t>
            </w:r>
          </w:p>
        </w:tc>
        <w:tc>
          <w:tcPr>
            <w:tcW w:w="2090"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w:t>
            </w:r>
            <w:r>
              <w:rPr>
                <w:sz w:val="20"/>
                <w:szCs w:val="20"/>
              </w:rPr>
              <w:t>5</w:t>
            </w:r>
            <w:r w:rsidRPr="00743578">
              <w:rPr>
                <w:sz w:val="20"/>
                <w:szCs w:val="20"/>
              </w:rPr>
              <w:t>) plus individual, house and area characteristics</w:t>
            </w:r>
          </w:p>
        </w:tc>
        <w:tc>
          <w:tcPr>
            <w:tcW w:w="2200"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w:t>
            </w:r>
            <w:r>
              <w:rPr>
                <w:sz w:val="20"/>
                <w:szCs w:val="20"/>
              </w:rPr>
              <w:t>5</w:t>
            </w:r>
            <w:r w:rsidRPr="00743578">
              <w:rPr>
                <w:sz w:val="20"/>
                <w:szCs w:val="20"/>
              </w:rPr>
              <w:t>) plus postcode sector fixed effects</w:t>
            </w:r>
          </w:p>
        </w:tc>
        <w:tc>
          <w:tcPr>
            <w:tcW w:w="1870" w:type="dxa"/>
            <w:tcBorders>
              <w:top w:val="single" w:sz="8" w:space="0" w:color="000000"/>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w:t>
            </w:r>
            <w:r>
              <w:rPr>
                <w:sz w:val="20"/>
                <w:szCs w:val="20"/>
              </w:rPr>
              <w:t>6</w:t>
            </w:r>
            <w:r w:rsidRPr="00743578">
              <w:rPr>
                <w:sz w:val="20"/>
                <w:szCs w:val="20"/>
              </w:rPr>
              <w:t>) plus postcode sector fixed effects</w:t>
            </w:r>
          </w:p>
        </w:tc>
      </w:tr>
      <w:tr w:rsidR="004E272B" w:rsidRPr="00BE07CF">
        <w:trPr>
          <w:trHeight w:val="441"/>
          <w:jc w:val="center"/>
        </w:trPr>
        <w:tc>
          <w:tcPr>
            <w:tcW w:w="2748" w:type="dxa"/>
            <w:tcBorders>
              <w:top w:val="single" w:sz="8" w:space="0" w:color="000000"/>
            </w:tcBorders>
            <w:shd w:val="clear" w:color="auto" w:fill="auto"/>
            <w:tcMar>
              <w:top w:w="72" w:type="dxa"/>
              <w:left w:w="144" w:type="dxa"/>
              <w:bottom w:w="72" w:type="dxa"/>
              <w:right w:w="144" w:type="dxa"/>
            </w:tcMar>
          </w:tcPr>
          <w:p w:rsidR="004E272B" w:rsidRDefault="004E272B" w:rsidP="00264B74">
            <w:pPr>
              <w:rPr>
                <w:sz w:val="20"/>
                <w:szCs w:val="20"/>
              </w:rPr>
            </w:pPr>
          </w:p>
          <w:p w:rsidR="004E272B" w:rsidRDefault="004E272B" w:rsidP="00264B74">
            <w:pPr>
              <w:rPr>
                <w:sz w:val="20"/>
                <w:szCs w:val="20"/>
              </w:rPr>
            </w:pPr>
            <w:r>
              <w:rPr>
                <w:sz w:val="20"/>
                <w:szCs w:val="20"/>
              </w:rPr>
              <w:t>KS2, Averaged (2003, 2004)</w:t>
            </w:r>
          </w:p>
        </w:tc>
        <w:tc>
          <w:tcPr>
            <w:tcW w:w="1498" w:type="dxa"/>
            <w:tcBorders>
              <w:top w:val="single" w:sz="8" w:space="0" w:color="000000"/>
            </w:tcBorders>
            <w:shd w:val="clear" w:color="auto" w:fill="auto"/>
            <w:tcMar>
              <w:top w:w="72" w:type="dxa"/>
              <w:left w:w="144" w:type="dxa"/>
              <w:bottom w:w="72" w:type="dxa"/>
              <w:right w:w="144" w:type="dxa"/>
            </w:tcMar>
          </w:tcPr>
          <w:p w:rsidR="004E272B" w:rsidRDefault="004E272B" w:rsidP="00264B74">
            <w:pPr>
              <w:jc w:val="center"/>
              <w:rPr>
                <w:sz w:val="20"/>
                <w:szCs w:val="20"/>
              </w:rPr>
            </w:pPr>
          </w:p>
          <w:p w:rsidR="004E272B" w:rsidRDefault="004E272B" w:rsidP="00264B74">
            <w:pPr>
              <w:jc w:val="center"/>
              <w:rPr>
                <w:sz w:val="20"/>
                <w:szCs w:val="20"/>
              </w:rPr>
            </w:pPr>
            <w:r>
              <w:rPr>
                <w:sz w:val="20"/>
                <w:szCs w:val="20"/>
              </w:rPr>
              <w:t>.283 (.014)</w:t>
            </w:r>
          </w:p>
        </w:tc>
        <w:tc>
          <w:tcPr>
            <w:tcW w:w="2090" w:type="dxa"/>
            <w:tcBorders>
              <w:top w:val="single" w:sz="8" w:space="0" w:color="000000"/>
            </w:tcBorders>
            <w:shd w:val="clear" w:color="auto" w:fill="auto"/>
            <w:tcMar>
              <w:top w:w="72" w:type="dxa"/>
              <w:left w:w="144" w:type="dxa"/>
              <w:bottom w:w="72" w:type="dxa"/>
              <w:right w:w="144" w:type="dxa"/>
            </w:tcMar>
          </w:tcPr>
          <w:p w:rsidR="004E272B" w:rsidRDefault="004E272B" w:rsidP="00264B74">
            <w:pPr>
              <w:jc w:val="center"/>
              <w:rPr>
                <w:sz w:val="20"/>
                <w:szCs w:val="20"/>
              </w:rPr>
            </w:pPr>
          </w:p>
          <w:p w:rsidR="004E272B" w:rsidRPr="00743578" w:rsidRDefault="004E272B" w:rsidP="00264B74">
            <w:pPr>
              <w:jc w:val="center"/>
              <w:rPr>
                <w:sz w:val="20"/>
                <w:szCs w:val="20"/>
              </w:rPr>
            </w:pPr>
            <w:r>
              <w:rPr>
                <w:sz w:val="20"/>
                <w:szCs w:val="20"/>
              </w:rPr>
              <w:t>.181 (.015)</w:t>
            </w:r>
          </w:p>
        </w:tc>
        <w:tc>
          <w:tcPr>
            <w:tcW w:w="2200" w:type="dxa"/>
            <w:tcBorders>
              <w:top w:val="single" w:sz="8" w:space="0" w:color="000000"/>
            </w:tcBorders>
            <w:shd w:val="clear" w:color="auto" w:fill="auto"/>
            <w:tcMar>
              <w:top w:w="72" w:type="dxa"/>
              <w:left w:w="144" w:type="dxa"/>
              <w:bottom w:w="72" w:type="dxa"/>
              <w:right w:w="144" w:type="dxa"/>
            </w:tcMar>
          </w:tcPr>
          <w:p w:rsidR="004E272B" w:rsidRDefault="004E272B" w:rsidP="00264B74">
            <w:pPr>
              <w:jc w:val="center"/>
              <w:rPr>
                <w:sz w:val="20"/>
                <w:szCs w:val="20"/>
              </w:rPr>
            </w:pPr>
          </w:p>
          <w:p w:rsidR="004E272B" w:rsidRPr="00743578" w:rsidRDefault="004E272B" w:rsidP="00264B74">
            <w:pPr>
              <w:jc w:val="center"/>
              <w:rPr>
                <w:sz w:val="20"/>
                <w:szCs w:val="20"/>
              </w:rPr>
            </w:pPr>
            <w:r>
              <w:rPr>
                <w:sz w:val="20"/>
                <w:szCs w:val="20"/>
              </w:rPr>
              <w:t>.119 (.026)</w:t>
            </w:r>
          </w:p>
        </w:tc>
        <w:tc>
          <w:tcPr>
            <w:tcW w:w="1870" w:type="dxa"/>
            <w:tcBorders>
              <w:top w:val="single" w:sz="8" w:space="0" w:color="000000"/>
            </w:tcBorders>
            <w:shd w:val="clear" w:color="auto" w:fill="auto"/>
            <w:tcMar>
              <w:top w:w="72" w:type="dxa"/>
              <w:left w:w="144" w:type="dxa"/>
              <w:bottom w:w="72" w:type="dxa"/>
              <w:right w:w="144" w:type="dxa"/>
            </w:tcMar>
          </w:tcPr>
          <w:p w:rsidR="004E272B" w:rsidRDefault="004E272B" w:rsidP="00264B74">
            <w:pPr>
              <w:jc w:val="center"/>
              <w:rPr>
                <w:sz w:val="20"/>
                <w:szCs w:val="20"/>
              </w:rPr>
            </w:pPr>
          </w:p>
          <w:p w:rsidR="004E272B" w:rsidRPr="00743578" w:rsidRDefault="004E272B" w:rsidP="00264B74">
            <w:pPr>
              <w:jc w:val="center"/>
              <w:rPr>
                <w:sz w:val="20"/>
                <w:szCs w:val="20"/>
              </w:rPr>
            </w:pPr>
            <w:r>
              <w:rPr>
                <w:sz w:val="20"/>
                <w:szCs w:val="20"/>
              </w:rPr>
              <w:t>.060 (.023)</w:t>
            </w:r>
          </w:p>
        </w:tc>
      </w:tr>
      <w:tr w:rsidR="004E272B" w:rsidRPr="00BE07CF">
        <w:trPr>
          <w:trHeight w:val="441"/>
          <w:jc w:val="center"/>
        </w:trPr>
        <w:tc>
          <w:tcPr>
            <w:tcW w:w="2748" w:type="dxa"/>
            <w:shd w:val="clear" w:color="auto" w:fill="auto"/>
            <w:tcMar>
              <w:top w:w="72" w:type="dxa"/>
              <w:left w:w="144" w:type="dxa"/>
              <w:bottom w:w="72" w:type="dxa"/>
              <w:right w:w="144" w:type="dxa"/>
            </w:tcMar>
          </w:tcPr>
          <w:p w:rsidR="004E272B" w:rsidRPr="00743578" w:rsidRDefault="004E272B" w:rsidP="00264B74">
            <w:pPr>
              <w:rPr>
                <w:sz w:val="20"/>
                <w:szCs w:val="20"/>
              </w:rPr>
            </w:pPr>
            <w:r>
              <w:rPr>
                <w:sz w:val="20"/>
                <w:szCs w:val="20"/>
              </w:rPr>
              <w:t>VA</w:t>
            </w:r>
            <w:r w:rsidRPr="00743578">
              <w:rPr>
                <w:sz w:val="20"/>
                <w:szCs w:val="20"/>
              </w:rPr>
              <w:t>, Averaged (2003, 2004)</w:t>
            </w:r>
          </w:p>
        </w:tc>
        <w:tc>
          <w:tcPr>
            <w:tcW w:w="1498" w:type="dxa"/>
            <w:shd w:val="clear" w:color="auto" w:fill="auto"/>
            <w:tcMar>
              <w:top w:w="72" w:type="dxa"/>
              <w:left w:w="144" w:type="dxa"/>
              <w:bottom w:w="72" w:type="dxa"/>
              <w:right w:w="144" w:type="dxa"/>
            </w:tcMar>
          </w:tcPr>
          <w:p w:rsidR="004E272B" w:rsidRPr="00743578" w:rsidRDefault="004E272B" w:rsidP="00264B74">
            <w:pPr>
              <w:jc w:val="center"/>
              <w:rPr>
                <w:sz w:val="20"/>
                <w:szCs w:val="20"/>
              </w:rPr>
            </w:pPr>
            <w:r>
              <w:rPr>
                <w:sz w:val="20"/>
                <w:szCs w:val="20"/>
              </w:rPr>
              <w:t>-.051</w:t>
            </w:r>
            <w:r w:rsidRPr="00743578">
              <w:rPr>
                <w:sz w:val="20"/>
                <w:szCs w:val="20"/>
              </w:rPr>
              <w:t xml:space="preserve"> (.01</w:t>
            </w:r>
            <w:r>
              <w:rPr>
                <w:sz w:val="20"/>
                <w:szCs w:val="20"/>
              </w:rPr>
              <w:t>5</w:t>
            </w:r>
            <w:r w:rsidRPr="00743578">
              <w:rPr>
                <w:sz w:val="20"/>
                <w:szCs w:val="20"/>
              </w:rPr>
              <w:t>)</w:t>
            </w:r>
          </w:p>
        </w:tc>
        <w:tc>
          <w:tcPr>
            <w:tcW w:w="2090" w:type="dxa"/>
            <w:shd w:val="clear" w:color="auto" w:fill="auto"/>
            <w:tcMar>
              <w:top w:w="72" w:type="dxa"/>
              <w:left w:w="144" w:type="dxa"/>
              <w:bottom w:w="72" w:type="dxa"/>
              <w:right w:w="144" w:type="dxa"/>
            </w:tcMar>
          </w:tcPr>
          <w:p w:rsidR="004E272B" w:rsidRPr="00743578" w:rsidRDefault="004E272B" w:rsidP="00264B74">
            <w:pPr>
              <w:jc w:val="center"/>
              <w:rPr>
                <w:sz w:val="20"/>
                <w:szCs w:val="20"/>
              </w:rPr>
            </w:pPr>
            <w:r>
              <w:rPr>
                <w:sz w:val="20"/>
                <w:szCs w:val="20"/>
              </w:rPr>
              <w:t>-.014 (.014)</w:t>
            </w:r>
          </w:p>
        </w:tc>
        <w:tc>
          <w:tcPr>
            <w:tcW w:w="2200" w:type="dxa"/>
            <w:shd w:val="clear" w:color="auto" w:fill="auto"/>
            <w:tcMar>
              <w:top w:w="72" w:type="dxa"/>
              <w:left w:w="144" w:type="dxa"/>
              <w:bottom w:w="72" w:type="dxa"/>
              <w:right w:w="144" w:type="dxa"/>
            </w:tcMar>
          </w:tcPr>
          <w:p w:rsidR="004E272B" w:rsidRPr="00743578" w:rsidRDefault="004E272B" w:rsidP="00264B74">
            <w:pPr>
              <w:jc w:val="center"/>
              <w:rPr>
                <w:sz w:val="20"/>
                <w:szCs w:val="20"/>
              </w:rPr>
            </w:pPr>
            <w:r>
              <w:rPr>
                <w:sz w:val="20"/>
                <w:szCs w:val="20"/>
              </w:rPr>
              <w:t>-.034 (.021)</w:t>
            </w:r>
          </w:p>
        </w:tc>
        <w:tc>
          <w:tcPr>
            <w:tcW w:w="1870" w:type="dxa"/>
            <w:shd w:val="clear" w:color="auto" w:fill="auto"/>
            <w:tcMar>
              <w:top w:w="72" w:type="dxa"/>
              <w:left w:w="144" w:type="dxa"/>
              <w:bottom w:w="72" w:type="dxa"/>
              <w:right w:w="144" w:type="dxa"/>
            </w:tcMar>
          </w:tcPr>
          <w:p w:rsidR="004E272B" w:rsidRPr="00743578" w:rsidRDefault="004E272B" w:rsidP="00264B74">
            <w:pPr>
              <w:jc w:val="center"/>
              <w:rPr>
                <w:sz w:val="20"/>
                <w:szCs w:val="20"/>
              </w:rPr>
            </w:pPr>
            <w:r>
              <w:rPr>
                <w:sz w:val="20"/>
                <w:szCs w:val="20"/>
              </w:rPr>
              <w:t>-.009 (.019)</w:t>
            </w:r>
          </w:p>
        </w:tc>
      </w:tr>
      <w:tr w:rsidR="004E272B" w:rsidRPr="00BE07CF">
        <w:trPr>
          <w:trHeight w:val="335"/>
          <w:jc w:val="center"/>
        </w:trPr>
        <w:tc>
          <w:tcPr>
            <w:tcW w:w="2748" w:type="dxa"/>
            <w:shd w:val="clear" w:color="auto" w:fill="auto"/>
            <w:tcMar>
              <w:top w:w="72" w:type="dxa"/>
              <w:left w:w="144" w:type="dxa"/>
              <w:bottom w:w="72" w:type="dxa"/>
              <w:right w:w="144" w:type="dxa"/>
            </w:tcMar>
          </w:tcPr>
          <w:p w:rsidR="004E272B" w:rsidRPr="00743578" w:rsidRDefault="004E272B" w:rsidP="00264B74">
            <w:pPr>
              <w:rPr>
                <w:sz w:val="20"/>
                <w:szCs w:val="20"/>
              </w:rPr>
            </w:pPr>
            <w:r w:rsidRPr="00743578">
              <w:rPr>
                <w:sz w:val="20"/>
                <w:szCs w:val="20"/>
              </w:rPr>
              <w:t>R-Squared</w:t>
            </w:r>
          </w:p>
        </w:tc>
        <w:tc>
          <w:tcPr>
            <w:tcW w:w="1498" w:type="dxa"/>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w:t>
            </w:r>
            <w:r>
              <w:rPr>
                <w:sz w:val="20"/>
                <w:szCs w:val="20"/>
              </w:rPr>
              <w:t>21</w:t>
            </w:r>
          </w:p>
        </w:tc>
        <w:tc>
          <w:tcPr>
            <w:tcW w:w="2090" w:type="dxa"/>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w:t>
            </w:r>
            <w:r>
              <w:rPr>
                <w:sz w:val="20"/>
                <w:szCs w:val="20"/>
              </w:rPr>
              <w:t>40</w:t>
            </w:r>
          </w:p>
        </w:tc>
        <w:tc>
          <w:tcPr>
            <w:tcW w:w="2200" w:type="dxa"/>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.75</w:t>
            </w:r>
          </w:p>
        </w:tc>
        <w:tc>
          <w:tcPr>
            <w:tcW w:w="1870" w:type="dxa"/>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.81</w:t>
            </w:r>
          </w:p>
        </w:tc>
      </w:tr>
      <w:tr w:rsidR="004E272B" w:rsidRPr="00BE07CF">
        <w:trPr>
          <w:trHeight w:val="286"/>
          <w:jc w:val="center"/>
        </w:trPr>
        <w:tc>
          <w:tcPr>
            <w:tcW w:w="2748" w:type="dxa"/>
            <w:tcBorders>
              <w:bottom w:val="single" w:sz="8" w:space="0" w:color="000000"/>
            </w:tcBorders>
            <w:shd w:val="clear" w:color="auto" w:fill="auto"/>
            <w:tcMar>
              <w:top w:w="72" w:type="dxa"/>
              <w:left w:w="144" w:type="dxa"/>
              <w:bottom w:w="72" w:type="dxa"/>
              <w:right w:w="144" w:type="dxa"/>
            </w:tcMar>
          </w:tcPr>
          <w:p w:rsidR="004E272B" w:rsidRPr="00743578" w:rsidRDefault="004E272B" w:rsidP="00264B74">
            <w:pPr>
              <w:rPr>
                <w:sz w:val="20"/>
                <w:szCs w:val="20"/>
              </w:rPr>
            </w:pPr>
            <w:r w:rsidRPr="00743578">
              <w:rPr>
                <w:sz w:val="20"/>
                <w:szCs w:val="20"/>
              </w:rPr>
              <w:t>Sample Size</w:t>
            </w:r>
          </w:p>
        </w:tc>
        <w:tc>
          <w:tcPr>
            <w:tcW w:w="1498" w:type="dxa"/>
            <w:tcBorders>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186</w:t>
            </w:r>
            <w:r>
              <w:rPr>
                <w:sz w:val="20"/>
                <w:szCs w:val="20"/>
              </w:rPr>
              <w:t>4</w:t>
            </w:r>
          </w:p>
        </w:tc>
        <w:tc>
          <w:tcPr>
            <w:tcW w:w="2090" w:type="dxa"/>
            <w:tcBorders>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186</w:t>
            </w:r>
            <w:r>
              <w:rPr>
                <w:sz w:val="20"/>
                <w:szCs w:val="20"/>
              </w:rPr>
              <w:t>1</w:t>
            </w:r>
          </w:p>
        </w:tc>
        <w:tc>
          <w:tcPr>
            <w:tcW w:w="2200" w:type="dxa"/>
            <w:tcBorders>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186</w:t>
            </w:r>
            <w:r>
              <w:rPr>
                <w:sz w:val="20"/>
                <w:szCs w:val="20"/>
              </w:rPr>
              <w:t>4</w:t>
            </w:r>
          </w:p>
        </w:tc>
        <w:tc>
          <w:tcPr>
            <w:tcW w:w="1870" w:type="dxa"/>
            <w:tcBorders>
              <w:bottom w:val="single" w:sz="8" w:space="0" w:color="000000"/>
            </w:tcBorders>
            <w:shd w:val="clear" w:color="auto" w:fill="auto"/>
            <w:tcMar>
              <w:top w:w="72" w:type="dxa"/>
              <w:left w:w="144" w:type="dxa"/>
              <w:bottom w:w="72" w:type="dxa"/>
              <w:right w:w="144" w:type="dxa"/>
            </w:tcMar>
          </w:tcPr>
          <w:p w:rsidR="004E272B" w:rsidRPr="00743578" w:rsidRDefault="004E272B" w:rsidP="00264B74">
            <w:pPr>
              <w:jc w:val="center"/>
              <w:rPr>
                <w:sz w:val="20"/>
                <w:szCs w:val="20"/>
              </w:rPr>
            </w:pPr>
            <w:r w:rsidRPr="00743578">
              <w:rPr>
                <w:sz w:val="20"/>
                <w:szCs w:val="20"/>
              </w:rPr>
              <w:t>186</w:t>
            </w:r>
            <w:r>
              <w:rPr>
                <w:sz w:val="20"/>
                <w:szCs w:val="20"/>
              </w:rPr>
              <w:t>1</w:t>
            </w:r>
          </w:p>
        </w:tc>
      </w:tr>
    </w:tbl>
    <w:p w:rsidR="004E272B" w:rsidRDefault="004E272B" w:rsidP="00206351"/>
    <w:p w:rsidR="00861B0B" w:rsidRPr="00861B0B" w:rsidRDefault="00861B0B" w:rsidP="00861B0B">
      <w:pPr>
        <w:ind w:left="-1021"/>
        <w:rPr>
          <w:sz w:val="20"/>
          <w:szCs w:val="20"/>
        </w:rPr>
      </w:pPr>
      <w:r w:rsidRPr="00861B0B">
        <w:rPr>
          <w:sz w:val="20"/>
          <w:szCs w:val="20"/>
        </w:rPr>
        <w:t xml:space="preserve">Notes: Standard errors </w:t>
      </w:r>
      <w:r w:rsidR="005F7297">
        <w:rPr>
          <w:sz w:val="20"/>
          <w:szCs w:val="20"/>
        </w:rPr>
        <w:t xml:space="preserve">clustered on postcode </w:t>
      </w:r>
      <w:r w:rsidRPr="00861B0B">
        <w:rPr>
          <w:sz w:val="20"/>
          <w:szCs w:val="20"/>
        </w:rPr>
        <w:t>in parentheses.</w:t>
      </w:r>
    </w:p>
    <w:p w:rsidR="00DE55BE" w:rsidRDefault="00DE55BE" w:rsidP="00206351"/>
    <w:p w:rsidR="00861B0B" w:rsidRPr="00861B0B" w:rsidRDefault="00861B0B" w:rsidP="00C12E37">
      <w:pPr>
        <w:rPr>
          <w:sz w:val="20"/>
          <w:szCs w:val="20"/>
        </w:rPr>
      </w:pPr>
    </w:p>
    <w:sectPr w:rsidR="00861B0B" w:rsidRPr="00861B0B" w:rsidSect="00C93600">
      <w:footerReference w:type="even" r:id="rId19"/>
      <w:footerReference w:type="default" r:id="rId20"/>
      <w:pgSz w:w="11906" w:h="16838"/>
      <w:pgMar w:top="1758" w:right="1588" w:bottom="1871" w:left="158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90A" w:rsidRDefault="004B390A">
      <w:r>
        <w:separator/>
      </w:r>
    </w:p>
  </w:endnote>
  <w:endnote w:type="continuationSeparator" w:id="0">
    <w:p w:rsidR="004B390A" w:rsidRDefault="004B3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Minion-Regular">
    <w:panose1 w:val="00000000000000000000"/>
    <w:charset w:val="00"/>
    <w:family w:val="auto"/>
    <w:notTrueType/>
    <w:pitch w:val="default"/>
    <w:sig w:usb0="00000003" w:usb1="00000000" w:usb2="00000000" w:usb3="00000000" w:csb0="00000001" w:csb1="00000000"/>
  </w:font>
  <w:font w:name="Minion-RegularSC">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981" w:rsidRDefault="00656981" w:rsidP="00264B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6981" w:rsidRDefault="006569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981" w:rsidRDefault="00656981" w:rsidP="00264B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4C7">
      <w:rPr>
        <w:rStyle w:val="PageNumber"/>
        <w:noProof/>
      </w:rPr>
      <w:t>2</w:t>
    </w:r>
    <w:r>
      <w:rPr>
        <w:rStyle w:val="PageNumber"/>
      </w:rPr>
      <w:fldChar w:fldCharType="end"/>
    </w:r>
  </w:p>
  <w:p w:rsidR="00656981" w:rsidRDefault="00656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90A" w:rsidRDefault="004B390A">
      <w:r>
        <w:separator/>
      </w:r>
    </w:p>
  </w:footnote>
  <w:footnote w:type="continuationSeparator" w:id="0">
    <w:p w:rsidR="004B390A" w:rsidRDefault="004B390A">
      <w:r>
        <w:continuationSeparator/>
      </w:r>
    </w:p>
  </w:footnote>
  <w:footnote w:id="1">
    <w:p w:rsidR="00656981" w:rsidRDefault="00656981" w:rsidP="008F13BC">
      <w:pPr>
        <w:autoSpaceDE w:val="0"/>
        <w:autoSpaceDN w:val="0"/>
        <w:adjustRightInd w:val="0"/>
        <w:jc w:val="both"/>
      </w:pPr>
      <w:r>
        <w:rPr>
          <w:rStyle w:val="FootnoteReference"/>
        </w:rPr>
        <w:footnoteRef/>
      </w:r>
      <w:r>
        <w:t xml:space="preserve"> </w:t>
      </w:r>
      <w:r w:rsidRPr="008F13BC">
        <w:rPr>
          <w:rFonts w:cs="Minion-Regular"/>
          <w:sz w:val="20"/>
          <w:szCs w:val="20"/>
          <w:lang w:val="en-US"/>
        </w:rPr>
        <w:t>For more information on this survey, see Hansen (</w:t>
      </w:r>
      <w:r w:rsidRPr="008F13BC">
        <w:rPr>
          <w:rFonts w:cs="Minion-RegularSC"/>
          <w:sz w:val="20"/>
          <w:szCs w:val="20"/>
          <w:lang w:val="en-US"/>
        </w:rPr>
        <w:t>2006</w:t>
      </w:r>
      <w:r w:rsidRPr="008F13BC">
        <w:rPr>
          <w:rFonts w:cs="Minion-Regular"/>
          <w:sz w:val="20"/>
          <w:szCs w:val="20"/>
          <w:lang w:val="en-US"/>
        </w:rPr>
        <w:t xml:space="preserve">). </w:t>
      </w:r>
    </w:p>
  </w:footnote>
  <w:footnote w:id="2">
    <w:p w:rsidR="00656981" w:rsidRDefault="00656981" w:rsidP="008F13BC">
      <w:pPr>
        <w:pStyle w:val="FootnoteText"/>
      </w:pPr>
      <w:r>
        <w:rPr>
          <w:rStyle w:val="FootnoteReference"/>
        </w:rPr>
        <w:footnoteRef/>
      </w:r>
      <w:r>
        <w:t xml:space="preserve">  Descriptive statistics on this are available on request from the authors.</w:t>
      </w:r>
    </w:p>
  </w:footnote>
  <w:footnote w:id="3">
    <w:p w:rsidR="00656981" w:rsidRDefault="00656981" w:rsidP="00395930">
      <w:pPr>
        <w:pStyle w:val="FootnoteText"/>
        <w:jc w:val="both"/>
      </w:pPr>
      <w:r>
        <w:rPr>
          <w:rStyle w:val="FootnoteReference"/>
        </w:rPr>
        <w:footnoteRef/>
      </w:r>
      <w:r>
        <w:t xml:space="preserve"> The BHPS is a panel survey that began in 1991 with around 10,300 individuals in 5,500 households in Great Britain. A further 1,500 households in </w:t>
      </w:r>
      <w:smartTag w:uri="urn:schemas-microsoft-com:office:smarttags" w:element="country-region">
        <w:r>
          <w:t>Scotland</w:t>
        </w:r>
      </w:smartTag>
      <w:r>
        <w:t xml:space="preserve"> and </w:t>
      </w:r>
      <w:smartTag w:uri="urn:schemas-microsoft-com:office:smarttags" w:element="country-region">
        <w:r>
          <w:t>Wales</w:t>
        </w:r>
      </w:smartTag>
      <w:r>
        <w:t xml:space="preserve"> were added to the sample and in 2001 2,000 households in </w:t>
      </w:r>
      <w:smartTag w:uri="urn:schemas-microsoft-com:office:smarttags" w:element="country-region">
        <w:smartTag w:uri="urn:schemas-microsoft-com:office:smarttags" w:element="place">
          <w:r>
            <w:t>Northern Ireland</w:t>
          </w:r>
        </w:smartTag>
      </w:smartTag>
      <w:r>
        <w:t xml:space="preserve"> were added.</w:t>
      </w:r>
    </w:p>
  </w:footnote>
  <w:footnote w:id="4">
    <w:p w:rsidR="00656981" w:rsidRDefault="00656981" w:rsidP="00752308">
      <w:pPr>
        <w:pStyle w:val="FootnoteText"/>
        <w:jc w:val="both"/>
      </w:pPr>
      <w:r>
        <w:rPr>
          <w:rStyle w:val="FootnoteReference"/>
        </w:rPr>
        <w:footnoteRef/>
      </w:r>
      <w:r>
        <w:t xml:space="preserve"> Black and Machin's (2010) review article documents the evolution of methods used in empirical work in this area over time.  Early work tended to run regressions controlling for whatever characteristics of houses and local amenities were available in the data, whereas more recent work has become increasingly sophisticated in its attempts to separate out the part of housing expenditures accounted for by better local school quality from other observable and unobservable drivers of local housing values.  Some of this work exploits discontinuities generated by school admissions rules (the classic initial papers being Bogart and Cromwell, 1997, and Black, 1999) and other influential work takes a more structural modelling approach more grounded in the hedonic pricing literature (for example, Bayer, Ferreira and McMillan, 2007).  </w:t>
      </w:r>
    </w:p>
  </w:footnote>
  <w:footnote w:id="5">
    <w:p w:rsidR="00656981" w:rsidRDefault="00656981" w:rsidP="002C60AF">
      <w:pPr>
        <w:pStyle w:val="FootnoteText"/>
        <w:jc w:val="both"/>
      </w:pPr>
      <w:r>
        <w:rPr>
          <w:rStyle w:val="FootnoteReference"/>
        </w:rPr>
        <w:footnoteRef/>
      </w:r>
      <w:r>
        <w:t xml:space="preserve"> Key stage 2 exams are nationally set and marked exams taken by children in year 6, the final year of primary school, when they are aged 10/11.</w:t>
      </w:r>
    </w:p>
  </w:footnote>
  <w:footnote w:id="6">
    <w:p w:rsidR="00656981" w:rsidRDefault="00656981">
      <w:pPr>
        <w:pStyle w:val="FootnoteText"/>
      </w:pPr>
      <w:r>
        <w:rPr>
          <w:rStyle w:val="FootnoteReference"/>
        </w:rPr>
        <w:footnoteRef/>
      </w:r>
      <w:r>
        <w:t xml:space="preserve"> To be precise it is measured as the improvement in the four school years between key stage 1 (the exams taken at age 6/7 in year 2) and key stage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103"/>
    <w:multiLevelType w:val="hybridMultilevel"/>
    <w:tmpl w:val="76CCCC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CB3236"/>
    <w:multiLevelType w:val="hybridMultilevel"/>
    <w:tmpl w:val="17BE2186"/>
    <w:lvl w:ilvl="0" w:tplc="672A0D08">
      <w:start w:val="1"/>
      <w:numFmt w:val="bullet"/>
      <w:lvlText w:val="•"/>
      <w:lvlJc w:val="left"/>
      <w:pPr>
        <w:tabs>
          <w:tab w:val="num" w:pos="720"/>
        </w:tabs>
        <w:ind w:left="720" w:hanging="360"/>
      </w:pPr>
      <w:rPr>
        <w:rFonts w:ascii="Arial" w:hAnsi="Arial" w:hint="default"/>
      </w:rPr>
    </w:lvl>
    <w:lvl w:ilvl="1" w:tplc="4C8E7350" w:tentative="1">
      <w:start w:val="1"/>
      <w:numFmt w:val="bullet"/>
      <w:lvlText w:val="•"/>
      <w:lvlJc w:val="left"/>
      <w:pPr>
        <w:tabs>
          <w:tab w:val="num" w:pos="1440"/>
        </w:tabs>
        <w:ind w:left="1440" w:hanging="360"/>
      </w:pPr>
      <w:rPr>
        <w:rFonts w:ascii="Arial" w:hAnsi="Arial" w:hint="default"/>
      </w:rPr>
    </w:lvl>
    <w:lvl w:ilvl="2" w:tplc="265E3708" w:tentative="1">
      <w:start w:val="1"/>
      <w:numFmt w:val="bullet"/>
      <w:lvlText w:val="•"/>
      <w:lvlJc w:val="left"/>
      <w:pPr>
        <w:tabs>
          <w:tab w:val="num" w:pos="2160"/>
        </w:tabs>
        <w:ind w:left="2160" w:hanging="360"/>
      </w:pPr>
      <w:rPr>
        <w:rFonts w:ascii="Arial" w:hAnsi="Arial" w:hint="default"/>
      </w:rPr>
    </w:lvl>
    <w:lvl w:ilvl="3" w:tplc="A024F9F4" w:tentative="1">
      <w:start w:val="1"/>
      <w:numFmt w:val="bullet"/>
      <w:lvlText w:val="•"/>
      <w:lvlJc w:val="left"/>
      <w:pPr>
        <w:tabs>
          <w:tab w:val="num" w:pos="2880"/>
        </w:tabs>
        <w:ind w:left="2880" w:hanging="360"/>
      </w:pPr>
      <w:rPr>
        <w:rFonts w:ascii="Arial" w:hAnsi="Arial" w:hint="default"/>
      </w:rPr>
    </w:lvl>
    <w:lvl w:ilvl="4" w:tplc="AC1A115C" w:tentative="1">
      <w:start w:val="1"/>
      <w:numFmt w:val="bullet"/>
      <w:lvlText w:val="•"/>
      <w:lvlJc w:val="left"/>
      <w:pPr>
        <w:tabs>
          <w:tab w:val="num" w:pos="3600"/>
        </w:tabs>
        <w:ind w:left="3600" w:hanging="360"/>
      </w:pPr>
      <w:rPr>
        <w:rFonts w:ascii="Arial" w:hAnsi="Arial" w:hint="default"/>
      </w:rPr>
    </w:lvl>
    <w:lvl w:ilvl="5" w:tplc="5B2E90F0" w:tentative="1">
      <w:start w:val="1"/>
      <w:numFmt w:val="bullet"/>
      <w:lvlText w:val="•"/>
      <w:lvlJc w:val="left"/>
      <w:pPr>
        <w:tabs>
          <w:tab w:val="num" w:pos="4320"/>
        </w:tabs>
        <w:ind w:left="4320" w:hanging="360"/>
      </w:pPr>
      <w:rPr>
        <w:rFonts w:ascii="Arial" w:hAnsi="Arial" w:hint="default"/>
      </w:rPr>
    </w:lvl>
    <w:lvl w:ilvl="6" w:tplc="B8A8A5B2" w:tentative="1">
      <w:start w:val="1"/>
      <w:numFmt w:val="bullet"/>
      <w:lvlText w:val="•"/>
      <w:lvlJc w:val="left"/>
      <w:pPr>
        <w:tabs>
          <w:tab w:val="num" w:pos="5040"/>
        </w:tabs>
        <w:ind w:left="5040" w:hanging="360"/>
      </w:pPr>
      <w:rPr>
        <w:rFonts w:ascii="Arial" w:hAnsi="Arial" w:hint="default"/>
      </w:rPr>
    </w:lvl>
    <w:lvl w:ilvl="7" w:tplc="33D4C54C" w:tentative="1">
      <w:start w:val="1"/>
      <w:numFmt w:val="bullet"/>
      <w:lvlText w:val="•"/>
      <w:lvlJc w:val="left"/>
      <w:pPr>
        <w:tabs>
          <w:tab w:val="num" w:pos="5760"/>
        </w:tabs>
        <w:ind w:left="5760" w:hanging="360"/>
      </w:pPr>
      <w:rPr>
        <w:rFonts w:ascii="Arial" w:hAnsi="Arial" w:hint="default"/>
      </w:rPr>
    </w:lvl>
    <w:lvl w:ilvl="8" w:tplc="6ED8D702" w:tentative="1">
      <w:start w:val="1"/>
      <w:numFmt w:val="bullet"/>
      <w:lvlText w:val="•"/>
      <w:lvlJc w:val="left"/>
      <w:pPr>
        <w:tabs>
          <w:tab w:val="num" w:pos="6480"/>
        </w:tabs>
        <w:ind w:left="6480" w:hanging="360"/>
      </w:pPr>
      <w:rPr>
        <w:rFonts w:ascii="Arial" w:hAnsi="Arial" w:hint="default"/>
      </w:rPr>
    </w:lvl>
  </w:abstractNum>
  <w:abstractNum w:abstractNumId="2">
    <w:nsid w:val="12C662C6"/>
    <w:multiLevelType w:val="hybridMultilevel"/>
    <w:tmpl w:val="31D658AA"/>
    <w:lvl w:ilvl="0" w:tplc="BF6ABCB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965BF7"/>
    <w:multiLevelType w:val="hybridMultilevel"/>
    <w:tmpl w:val="D534D5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9197EAF"/>
    <w:multiLevelType w:val="hybridMultilevel"/>
    <w:tmpl w:val="83A8367C"/>
    <w:lvl w:ilvl="0" w:tplc="8918F9E0">
      <w:start w:val="1"/>
      <w:numFmt w:val="lowerRoman"/>
      <w:lvlText w:val="%1)"/>
      <w:lvlJc w:val="right"/>
      <w:pPr>
        <w:tabs>
          <w:tab w:val="num" w:pos="720"/>
        </w:tabs>
        <w:ind w:left="720" w:hanging="360"/>
      </w:pPr>
    </w:lvl>
    <w:lvl w:ilvl="1" w:tplc="90A49006" w:tentative="1">
      <w:start w:val="1"/>
      <w:numFmt w:val="lowerRoman"/>
      <w:lvlText w:val="%2)"/>
      <w:lvlJc w:val="right"/>
      <w:pPr>
        <w:tabs>
          <w:tab w:val="num" w:pos="1440"/>
        </w:tabs>
        <w:ind w:left="1440" w:hanging="360"/>
      </w:pPr>
    </w:lvl>
    <w:lvl w:ilvl="2" w:tplc="B384825A" w:tentative="1">
      <w:start w:val="1"/>
      <w:numFmt w:val="lowerRoman"/>
      <w:lvlText w:val="%3)"/>
      <w:lvlJc w:val="right"/>
      <w:pPr>
        <w:tabs>
          <w:tab w:val="num" w:pos="2160"/>
        </w:tabs>
        <w:ind w:left="2160" w:hanging="360"/>
      </w:pPr>
    </w:lvl>
    <w:lvl w:ilvl="3" w:tplc="29B4394E" w:tentative="1">
      <w:start w:val="1"/>
      <w:numFmt w:val="lowerRoman"/>
      <w:lvlText w:val="%4)"/>
      <w:lvlJc w:val="right"/>
      <w:pPr>
        <w:tabs>
          <w:tab w:val="num" w:pos="2880"/>
        </w:tabs>
        <w:ind w:left="2880" w:hanging="360"/>
      </w:pPr>
    </w:lvl>
    <w:lvl w:ilvl="4" w:tplc="B27811C4" w:tentative="1">
      <w:start w:val="1"/>
      <w:numFmt w:val="lowerRoman"/>
      <w:lvlText w:val="%5)"/>
      <w:lvlJc w:val="right"/>
      <w:pPr>
        <w:tabs>
          <w:tab w:val="num" w:pos="3600"/>
        </w:tabs>
        <w:ind w:left="3600" w:hanging="360"/>
      </w:pPr>
    </w:lvl>
    <w:lvl w:ilvl="5" w:tplc="D85617E0" w:tentative="1">
      <w:start w:val="1"/>
      <w:numFmt w:val="lowerRoman"/>
      <w:lvlText w:val="%6)"/>
      <w:lvlJc w:val="right"/>
      <w:pPr>
        <w:tabs>
          <w:tab w:val="num" w:pos="4320"/>
        </w:tabs>
        <w:ind w:left="4320" w:hanging="360"/>
      </w:pPr>
    </w:lvl>
    <w:lvl w:ilvl="6" w:tplc="2E58524A" w:tentative="1">
      <w:start w:val="1"/>
      <w:numFmt w:val="lowerRoman"/>
      <w:lvlText w:val="%7)"/>
      <w:lvlJc w:val="right"/>
      <w:pPr>
        <w:tabs>
          <w:tab w:val="num" w:pos="5040"/>
        </w:tabs>
        <w:ind w:left="5040" w:hanging="360"/>
      </w:pPr>
    </w:lvl>
    <w:lvl w:ilvl="7" w:tplc="6BD8E09A" w:tentative="1">
      <w:start w:val="1"/>
      <w:numFmt w:val="lowerRoman"/>
      <w:lvlText w:val="%8)"/>
      <w:lvlJc w:val="right"/>
      <w:pPr>
        <w:tabs>
          <w:tab w:val="num" w:pos="5760"/>
        </w:tabs>
        <w:ind w:left="5760" w:hanging="360"/>
      </w:pPr>
    </w:lvl>
    <w:lvl w:ilvl="8" w:tplc="288CEAF0" w:tentative="1">
      <w:start w:val="1"/>
      <w:numFmt w:val="lowerRoman"/>
      <w:lvlText w:val="%9)"/>
      <w:lvlJc w:val="right"/>
      <w:pPr>
        <w:tabs>
          <w:tab w:val="num" w:pos="6480"/>
        </w:tabs>
        <w:ind w:left="6480" w:hanging="360"/>
      </w:pPr>
    </w:lvl>
  </w:abstractNum>
  <w:abstractNum w:abstractNumId="5">
    <w:nsid w:val="25DF2808"/>
    <w:multiLevelType w:val="hybridMultilevel"/>
    <w:tmpl w:val="E95C235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2D73542F"/>
    <w:multiLevelType w:val="hybridMultilevel"/>
    <w:tmpl w:val="B78C2BBE"/>
    <w:lvl w:ilvl="0" w:tplc="FDAC5716">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2C300B1"/>
    <w:multiLevelType w:val="hybridMultilevel"/>
    <w:tmpl w:val="648A9A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32804E6"/>
    <w:multiLevelType w:val="hybridMultilevel"/>
    <w:tmpl w:val="35B4911E"/>
    <w:lvl w:ilvl="0" w:tplc="9F003B02">
      <w:start w:val="1"/>
      <w:numFmt w:val="bullet"/>
      <w:lvlText w:val="•"/>
      <w:lvlJc w:val="left"/>
      <w:pPr>
        <w:tabs>
          <w:tab w:val="num" w:pos="720"/>
        </w:tabs>
        <w:ind w:left="720" w:hanging="360"/>
      </w:pPr>
      <w:rPr>
        <w:rFonts w:ascii="Arial" w:hAnsi="Arial" w:hint="default"/>
      </w:rPr>
    </w:lvl>
    <w:lvl w:ilvl="1" w:tplc="430EC5F4" w:tentative="1">
      <w:start w:val="1"/>
      <w:numFmt w:val="bullet"/>
      <w:lvlText w:val="•"/>
      <w:lvlJc w:val="left"/>
      <w:pPr>
        <w:tabs>
          <w:tab w:val="num" w:pos="1440"/>
        </w:tabs>
        <w:ind w:left="1440" w:hanging="360"/>
      </w:pPr>
      <w:rPr>
        <w:rFonts w:ascii="Arial" w:hAnsi="Arial" w:hint="default"/>
      </w:rPr>
    </w:lvl>
    <w:lvl w:ilvl="2" w:tplc="A288B732" w:tentative="1">
      <w:start w:val="1"/>
      <w:numFmt w:val="bullet"/>
      <w:lvlText w:val="•"/>
      <w:lvlJc w:val="left"/>
      <w:pPr>
        <w:tabs>
          <w:tab w:val="num" w:pos="2160"/>
        </w:tabs>
        <w:ind w:left="2160" w:hanging="360"/>
      </w:pPr>
      <w:rPr>
        <w:rFonts w:ascii="Arial" w:hAnsi="Arial" w:hint="default"/>
      </w:rPr>
    </w:lvl>
    <w:lvl w:ilvl="3" w:tplc="8308712E" w:tentative="1">
      <w:start w:val="1"/>
      <w:numFmt w:val="bullet"/>
      <w:lvlText w:val="•"/>
      <w:lvlJc w:val="left"/>
      <w:pPr>
        <w:tabs>
          <w:tab w:val="num" w:pos="2880"/>
        </w:tabs>
        <w:ind w:left="2880" w:hanging="360"/>
      </w:pPr>
      <w:rPr>
        <w:rFonts w:ascii="Arial" w:hAnsi="Arial" w:hint="default"/>
      </w:rPr>
    </w:lvl>
    <w:lvl w:ilvl="4" w:tplc="5D24B26E" w:tentative="1">
      <w:start w:val="1"/>
      <w:numFmt w:val="bullet"/>
      <w:lvlText w:val="•"/>
      <w:lvlJc w:val="left"/>
      <w:pPr>
        <w:tabs>
          <w:tab w:val="num" w:pos="3600"/>
        </w:tabs>
        <w:ind w:left="3600" w:hanging="360"/>
      </w:pPr>
      <w:rPr>
        <w:rFonts w:ascii="Arial" w:hAnsi="Arial" w:hint="default"/>
      </w:rPr>
    </w:lvl>
    <w:lvl w:ilvl="5" w:tplc="926A6B30" w:tentative="1">
      <w:start w:val="1"/>
      <w:numFmt w:val="bullet"/>
      <w:lvlText w:val="•"/>
      <w:lvlJc w:val="left"/>
      <w:pPr>
        <w:tabs>
          <w:tab w:val="num" w:pos="4320"/>
        </w:tabs>
        <w:ind w:left="4320" w:hanging="360"/>
      </w:pPr>
      <w:rPr>
        <w:rFonts w:ascii="Arial" w:hAnsi="Arial" w:hint="default"/>
      </w:rPr>
    </w:lvl>
    <w:lvl w:ilvl="6" w:tplc="6B6A50BC" w:tentative="1">
      <w:start w:val="1"/>
      <w:numFmt w:val="bullet"/>
      <w:lvlText w:val="•"/>
      <w:lvlJc w:val="left"/>
      <w:pPr>
        <w:tabs>
          <w:tab w:val="num" w:pos="5040"/>
        </w:tabs>
        <w:ind w:left="5040" w:hanging="360"/>
      </w:pPr>
      <w:rPr>
        <w:rFonts w:ascii="Arial" w:hAnsi="Arial" w:hint="default"/>
      </w:rPr>
    </w:lvl>
    <w:lvl w:ilvl="7" w:tplc="B8344D0E" w:tentative="1">
      <w:start w:val="1"/>
      <w:numFmt w:val="bullet"/>
      <w:lvlText w:val="•"/>
      <w:lvlJc w:val="left"/>
      <w:pPr>
        <w:tabs>
          <w:tab w:val="num" w:pos="5760"/>
        </w:tabs>
        <w:ind w:left="5760" w:hanging="360"/>
      </w:pPr>
      <w:rPr>
        <w:rFonts w:ascii="Arial" w:hAnsi="Arial" w:hint="default"/>
      </w:rPr>
    </w:lvl>
    <w:lvl w:ilvl="8" w:tplc="93A80F76" w:tentative="1">
      <w:start w:val="1"/>
      <w:numFmt w:val="bullet"/>
      <w:lvlText w:val="•"/>
      <w:lvlJc w:val="left"/>
      <w:pPr>
        <w:tabs>
          <w:tab w:val="num" w:pos="6480"/>
        </w:tabs>
        <w:ind w:left="6480" w:hanging="360"/>
      </w:pPr>
      <w:rPr>
        <w:rFonts w:ascii="Arial" w:hAnsi="Arial" w:hint="default"/>
      </w:rPr>
    </w:lvl>
  </w:abstractNum>
  <w:abstractNum w:abstractNumId="9">
    <w:nsid w:val="44E36A33"/>
    <w:multiLevelType w:val="hybridMultilevel"/>
    <w:tmpl w:val="155237D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4BC62C03"/>
    <w:multiLevelType w:val="hybridMultilevel"/>
    <w:tmpl w:val="008670F8"/>
    <w:lvl w:ilvl="0" w:tplc="67B025D4">
      <w:start w:val="1"/>
      <w:numFmt w:val="bullet"/>
      <w:lvlText w:val="•"/>
      <w:lvlJc w:val="left"/>
      <w:pPr>
        <w:tabs>
          <w:tab w:val="num" w:pos="720"/>
        </w:tabs>
        <w:ind w:left="720" w:hanging="360"/>
      </w:pPr>
      <w:rPr>
        <w:rFonts w:ascii="Arial" w:hAnsi="Arial" w:hint="default"/>
      </w:rPr>
    </w:lvl>
    <w:lvl w:ilvl="1" w:tplc="95EAC4FA" w:tentative="1">
      <w:start w:val="1"/>
      <w:numFmt w:val="bullet"/>
      <w:lvlText w:val="•"/>
      <w:lvlJc w:val="left"/>
      <w:pPr>
        <w:tabs>
          <w:tab w:val="num" w:pos="1440"/>
        </w:tabs>
        <w:ind w:left="1440" w:hanging="360"/>
      </w:pPr>
      <w:rPr>
        <w:rFonts w:ascii="Arial" w:hAnsi="Arial" w:hint="default"/>
      </w:rPr>
    </w:lvl>
    <w:lvl w:ilvl="2" w:tplc="467A0CCC" w:tentative="1">
      <w:start w:val="1"/>
      <w:numFmt w:val="bullet"/>
      <w:lvlText w:val="•"/>
      <w:lvlJc w:val="left"/>
      <w:pPr>
        <w:tabs>
          <w:tab w:val="num" w:pos="2160"/>
        </w:tabs>
        <w:ind w:left="2160" w:hanging="360"/>
      </w:pPr>
      <w:rPr>
        <w:rFonts w:ascii="Arial" w:hAnsi="Arial" w:hint="default"/>
      </w:rPr>
    </w:lvl>
    <w:lvl w:ilvl="3" w:tplc="3AF4F1CC" w:tentative="1">
      <w:start w:val="1"/>
      <w:numFmt w:val="bullet"/>
      <w:lvlText w:val="•"/>
      <w:lvlJc w:val="left"/>
      <w:pPr>
        <w:tabs>
          <w:tab w:val="num" w:pos="2880"/>
        </w:tabs>
        <w:ind w:left="2880" w:hanging="360"/>
      </w:pPr>
      <w:rPr>
        <w:rFonts w:ascii="Arial" w:hAnsi="Arial" w:hint="default"/>
      </w:rPr>
    </w:lvl>
    <w:lvl w:ilvl="4" w:tplc="A5E6EDB8" w:tentative="1">
      <w:start w:val="1"/>
      <w:numFmt w:val="bullet"/>
      <w:lvlText w:val="•"/>
      <w:lvlJc w:val="left"/>
      <w:pPr>
        <w:tabs>
          <w:tab w:val="num" w:pos="3600"/>
        </w:tabs>
        <w:ind w:left="3600" w:hanging="360"/>
      </w:pPr>
      <w:rPr>
        <w:rFonts w:ascii="Arial" w:hAnsi="Arial" w:hint="default"/>
      </w:rPr>
    </w:lvl>
    <w:lvl w:ilvl="5" w:tplc="722EE832" w:tentative="1">
      <w:start w:val="1"/>
      <w:numFmt w:val="bullet"/>
      <w:lvlText w:val="•"/>
      <w:lvlJc w:val="left"/>
      <w:pPr>
        <w:tabs>
          <w:tab w:val="num" w:pos="4320"/>
        </w:tabs>
        <w:ind w:left="4320" w:hanging="360"/>
      </w:pPr>
      <w:rPr>
        <w:rFonts w:ascii="Arial" w:hAnsi="Arial" w:hint="default"/>
      </w:rPr>
    </w:lvl>
    <w:lvl w:ilvl="6" w:tplc="7CEE2C64" w:tentative="1">
      <w:start w:val="1"/>
      <w:numFmt w:val="bullet"/>
      <w:lvlText w:val="•"/>
      <w:lvlJc w:val="left"/>
      <w:pPr>
        <w:tabs>
          <w:tab w:val="num" w:pos="5040"/>
        </w:tabs>
        <w:ind w:left="5040" w:hanging="360"/>
      </w:pPr>
      <w:rPr>
        <w:rFonts w:ascii="Arial" w:hAnsi="Arial" w:hint="default"/>
      </w:rPr>
    </w:lvl>
    <w:lvl w:ilvl="7" w:tplc="726038E0" w:tentative="1">
      <w:start w:val="1"/>
      <w:numFmt w:val="bullet"/>
      <w:lvlText w:val="•"/>
      <w:lvlJc w:val="left"/>
      <w:pPr>
        <w:tabs>
          <w:tab w:val="num" w:pos="5760"/>
        </w:tabs>
        <w:ind w:left="5760" w:hanging="360"/>
      </w:pPr>
      <w:rPr>
        <w:rFonts w:ascii="Arial" w:hAnsi="Arial" w:hint="default"/>
      </w:rPr>
    </w:lvl>
    <w:lvl w:ilvl="8" w:tplc="6F92B0AA" w:tentative="1">
      <w:start w:val="1"/>
      <w:numFmt w:val="bullet"/>
      <w:lvlText w:val="•"/>
      <w:lvlJc w:val="left"/>
      <w:pPr>
        <w:tabs>
          <w:tab w:val="num" w:pos="6480"/>
        </w:tabs>
        <w:ind w:left="6480" w:hanging="360"/>
      </w:pPr>
      <w:rPr>
        <w:rFonts w:ascii="Arial" w:hAnsi="Arial" w:hint="default"/>
      </w:rPr>
    </w:lvl>
  </w:abstractNum>
  <w:abstractNum w:abstractNumId="11">
    <w:nsid w:val="4D2A001C"/>
    <w:multiLevelType w:val="hybridMultilevel"/>
    <w:tmpl w:val="AFD40004"/>
    <w:lvl w:ilvl="0" w:tplc="BA246F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8A16B10"/>
    <w:multiLevelType w:val="hybridMultilevel"/>
    <w:tmpl w:val="1AAEE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9B12E6C"/>
    <w:multiLevelType w:val="hybridMultilevel"/>
    <w:tmpl w:val="60E46800"/>
    <w:lvl w:ilvl="0" w:tplc="294480AE">
      <w:start w:val="1"/>
      <w:numFmt w:val="bullet"/>
      <w:lvlText w:val="•"/>
      <w:lvlJc w:val="left"/>
      <w:pPr>
        <w:tabs>
          <w:tab w:val="num" w:pos="720"/>
        </w:tabs>
        <w:ind w:left="720" w:hanging="360"/>
      </w:pPr>
      <w:rPr>
        <w:rFonts w:ascii="Arial" w:hAnsi="Arial" w:hint="default"/>
      </w:rPr>
    </w:lvl>
    <w:lvl w:ilvl="1" w:tplc="FD08BE68" w:tentative="1">
      <w:start w:val="1"/>
      <w:numFmt w:val="bullet"/>
      <w:lvlText w:val="•"/>
      <w:lvlJc w:val="left"/>
      <w:pPr>
        <w:tabs>
          <w:tab w:val="num" w:pos="1440"/>
        </w:tabs>
        <w:ind w:left="1440" w:hanging="360"/>
      </w:pPr>
      <w:rPr>
        <w:rFonts w:ascii="Arial" w:hAnsi="Arial" w:hint="default"/>
      </w:rPr>
    </w:lvl>
    <w:lvl w:ilvl="2" w:tplc="2EBC459C" w:tentative="1">
      <w:start w:val="1"/>
      <w:numFmt w:val="bullet"/>
      <w:lvlText w:val="•"/>
      <w:lvlJc w:val="left"/>
      <w:pPr>
        <w:tabs>
          <w:tab w:val="num" w:pos="2160"/>
        </w:tabs>
        <w:ind w:left="2160" w:hanging="360"/>
      </w:pPr>
      <w:rPr>
        <w:rFonts w:ascii="Arial" w:hAnsi="Arial" w:hint="default"/>
      </w:rPr>
    </w:lvl>
    <w:lvl w:ilvl="3" w:tplc="EC284624" w:tentative="1">
      <w:start w:val="1"/>
      <w:numFmt w:val="bullet"/>
      <w:lvlText w:val="•"/>
      <w:lvlJc w:val="left"/>
      <w:pPr>
        <w:tabs>
          <w:tab w:val="num" w:pos="2880"/>
        </w:tabs>
        <w:ind w:left="2880" w:hanging="360"/>
      </w:pPr>
      <w:rPr>
        <w:rFonts w:ascii="Arial" w:hAnsi="Arial" w:hint="default"/>
      </w:rPr>
    </w:lvl>
    <w:lvl w:ilvl="4" w:tplc="338CF2C4" w:tentative="1">
      <w:start w:val="1"/>
      <w:numFmt w:val="bullet"/>
      <w:lvlText w:val="•"/>
      <w:lvlJc w:val="left"/>
      <w:pPr>
        <w:tabs>
          <w:tab w:val="num" w:pos="3600"/>
        </w:tabs>
        <w:ind w:left="3600" w:hanging="360"/>
      </w:pPr>
      <w:rPr>
        <w:rFonts w:ascii="Arial" w:hAnsi="Arial" w:hint="default"/>
      </w:rPr>
    </w:lvl>
    <w:lvl w:ilvl="5" w:tplc="DCB0FA80" w:tentative="1">
      <w:start w:val="1"/>
      <w:numFmt w:val="bullet"/>
      <w:lvlText w:val="•"/>
      <w:lvlJc w:val="left"/>
      <w:pPr>
        <w:tabs>
          <w:tab w:val="num" w:pos="4320"/>
        </w:tabs>
        <w:ind w:left="4320" w:hanging="360"/>
      </w:pPr>
      <w:rPr>
        <w:rFonts w:ascii="Arial" w:hAnsi="Arial" w:hint="default"/>
      </w:rPr>
    </w:lvl>
    <w:lvl w:ilvl="6" w:tplc="C31485AA" w:tentative="1">
      <w:start w:val="1"/>
      <w:numFmt w:val="bullet"/>
      <w:lvlText w:val="•"/>
      <w:lvlJc w:val="left"/>
      <w:pPr>
        <w:tabs>
          <w:tab w:val="num" w:pos="5040"/>
        </w:tabs>
        <w:ind w:left="5040" w:hanging="360"/>
      </w:pPr>
      <w:rPr>
        <w:rFonts w:ascii="Arial" w:hAnsi="Arial" w:hint="default"/>
      </w:rPr>
    </w:lvl>
    <w:lvl w:ilvl="7" w:tplc="74E640D4" w:tentative="1">
      <w:start w:val="1"/>
      <w:numFmt w:val="bullet"/>
      <w:lvlText w:val="•"/>
      <w:lvlJc w:val="left"/>
      <w:pPr>
        <w:tabs>
          <w:tab w:val="num" w:pos="5760"/>
        </w:tabs>
        <w:ind w:left="5760" w:hanging="360"/>
      </w:pPr>
      <w:rPr>
        <w:rFonts w:ascii="Arial" w:hAnsi="Arial" w:hint="default"/>
      </w:rPr>
    </w:lvl>
    <w:lvl w:ilvl="8" w:tplc="76D68DDE" w:tentative="1">
      <w:start w:val="1"/>
      <w:numFmt w:val="bullet"/>
      <w:lvlText w:val="•"/>
      <w:lvlJc w:val="left"/>
      <w:pPr>
        <w:tabs>
          <w:tab w:val="num" w:pos="6480"/>
        </w:tabs>
        <w:ind w:left="6480" w:hanging="360"/>
      </w:pPr>
      <w:rPr>
        <w:rFonts w:ascii="Arial" w:hAnsi="Arial" w:hint="default"/>
      </w:rPr>
    </w:lvl>
  </w:abstractNum>
  <w:abstractNum w:abstractNumId="14">
    <w:nsid w:val="5A861E3D"/>
    <w:multiLevelType w:val="hybridMultilevel"/>
    <w:tmpl w:val="A28448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1D20617"/>
    <w:multiLevelType w:val="hybridMultilevel"/>
    <w:tmpl w:val="C1021B6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25E0D85"/>
    <w:multiLevelType w:val="hybridMultilevel"/>
    <w:tmpl w:val="C7FC9364"/>
    <w:lvl w:ilvl="0" w:tplc="0A7ED79C">
      <w:start w:val="1"/>
      <w:numFmt w:val="bullet"/>
      <w:lvlText w:val="•"/>
      <w:lvlJc w:val="left"/>
      <w:pPr>
        <w:tabs>
          <w:tab w:val="num" w:pos="720"/>
        </w:tabs>
        <w:ind w:left="720" w:hanging="360"/>
      </w:pPr>
      <w:rPr>
        <w:rFonts w:ascii="Arial" w:hAnsi="Arial" w:hint="default"/>
      </w:rPr>
    </w:lvl>
    <w:lvl w:ilvl="1" w:tplc="055E6798" w:tentative="1">
      <w:start w:val="1"/>
      <w:numFmt w:val="bullet"/>
      <w:lvlText w:val="•"/>
      <w:lvlJc w:val="left"/>
      <w:pPr>
        <w:tabs>
          <w:tab w:val="num" w:pos="1440"/>
        </w:tabs>
        <w:ind w:left="1440" w:hanging="360"/>
      </w:pPr>
      <w:rPr>
        <w:rFonts w:ascii="Arial" w:hAnsi="Arial" w:hint="default"/>
      </w:rPr>
    </w:lvl>
    <w:lvl w:ilvl="2" w:tplc="CB586380" w:tentative="1">
      <w:start w:val="1"/>
      <w:numFmt w:val="bullet"/>
      <w:lvlText w:val="•"/>
      <w:lvlJc w:val="left"/>
      <w:pPr>
        <w:tabs>
          <w:tab w:val="num" w:pos="2160"/>
        </w:tabs>
        <w:ind w:left="2160" w:hanging="360"/>
      </w:pPr>
      <w:rPr>
        <w:rFonts w:ascii="Arial" w:hAnsi="Arial" w:hint="default"/>
      </w:rPr>
    </w:lvl>
    <w:lvl w:ilvl="3" w:tplc="A32667C4" w:tentative="1">
      <w:start w:val="1"/>
      <w:numFmt w:val="bullet"/>
      <w:lvlText w:val="•"/>
      <w:lvlJc w:val="left"/>
      <w:pPr>
        <w:tabs>
          <w:tab w:val="num" w:pos="2880"/>
        </w:tabs>
        <w:ind w:left="2880" w:hanging="360"/>
      </w:pPr>
      <w:rPr>
        <w:rFonts w:ascii="Arial" w:hAnsi="Arial" w:hint="default"/>
      </w:rPr>
    </w:lvl>
    <w:lvl w:ilvl="4" w:tplc="3E582288" w:tentative="1">
      <w:start w:val="1"/>
      <w:numFmt w:val="bullet"/>
      <w:lvlText w:val="•"/>
      <w:lvlJc w:val="left"/>
      <w:pPr>
        <w:tabs>
          <w:tab w:val="num" w:pos="3600"/>
        </w:tabs>
        <w:ind w:left="3600" w:hanging="360"/>
      </w:pPr>
      <w:rPr>
        <w:rFonts w:ascii="Arial" w:hAnsi="Arial" w:hint="default"/>
      </w:rPr>
    </w:lvl>
    <w:lvl w:ilvl="5" w:tplc="188C1E60" w:tentative="1">
      <w:start w:val="1"/>
      <w:numFmt w:val="bullet"/>
      <w:lvlText w:val="•"/>
      <w:lvlJc w:val="left"/>
      <w:pPr>
        <w:tabs>
          <w:tab w:val="num" w:pos="4320"/>
        </w:tabs>
        <w:ind w:left="4320" w:hanging="360"/>
      </w:pPr>
      <w:rPr>
        <w:rFonts w:ascii="Arial" w:hAnsi="Arial" w:hint="default"/>
      </w:rPr>
    </w:lvl>
    <w:lvl w:ilvl="6" w:tplc="ADF8B028" w:tentative="1">
      <w:start w:val="1"/>
      <w:numFmt w:val="bullet"/>
      <w:lvlText w:val="•"/>
      <w:lvlJc w:val="left"/>
      <w:pPr>
        <w:tabs>
          <w:tab w:val="num" w:pos="5040"/>
        </w:tabs>
        <w:ind w:left="5040" w:hanging="360"/>
      </w:pPr>
      <w:rPr>
        <w:rFonts w:ascii="Arial" w:hAnsi="Arial" w:hint="default"/>
      </w:rPr>
    </w:lvl>
    <w:lvl w:ilvl="7" w:tplc="63EA7E0E" w:tentative="1">
      <w:start w:val="1"/>
      <w:numFmt w:val="bullet"/>
      <w:lvlText w:val="•"/>
      <w:lvlJc w:val="left"/>
      <w:pPr>
        <w:tabs>
          <w:tab w:val="num" w:pos="5760"/>
        </w:tabs>
        <w:ind w:left="5760" w:hanging="360"/>
      </w:pPr>
      <w:rPr>
        <w:rFonts w:ascii="Arial" w:hAnsi="Arial" w:hint="default"/>
      </w:rPr>
    </w:lvl>
    <w:lvl w:ilvl="8" w:tplc="6A84A9FC" w:tentative="1">
      <w:start w:val="1"/>
      <w:numFmt w:val="bullet"/>
      <w:lvlText w:val="•"/>
      <w:lvlJc w:val="left"/>
      <w:pPr>
        <w:tabs>
          <w:tab w:val="num" w:pos="6480"/>
        </w:tabs>
        <w:ind w:left="6480" w:hanging="360"/>
      </w:pPr>
      <w:rPr>
        <w:rFonts w:ascii="Arial" w:hAnsi="Arial" w:hint="default"/>
      </w:rPr>
    </w:lvl>
  </w:abstractNum>
  <w:abstractNum w:abstractNumId="17">
    <w:nsid w:val="698740AD"/>
    <w:multiLevelType w:val="hybridMultilevel"/>
    <w:tmpl w:val="B2CCA9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C8E5D7D"/>
    <w:multiLevelType w:val="hybridMultilevel"/>
    <w:tmpl w:val="8E385DEC"/>
    <w:lvl w:ilvl="0" w:tplc="A9A4A03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F8B71E2"/>
    <w:multiLevelType w:val="hybridMultilevel"/>
    <w:tmpl w:val="7DACC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0E347E"/>
    <w:multiLevelType w:val="hybridMultilevel"/>
    <w:tmpl w:val="AB70561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EE5788D"/>
    <w:multiLevelType w:val="hybridMultilevel"/>
    <w:tmpl w:val="F9408DBC"/>
    <w:lvl w:ilvl="0" w:tplc="DF58B264">
      <w:start w:val="1"/>
      <w:numFmt w:val="bullet"/>
      <w:lvlText w:val="•"/>
      <w:lvlJc w:val="left"/>
      <w:pPr>
        <w:tabs>
          <w:tab w:val="num" w:pos="720"/>
        </w:tabs>
        <w:ind w:left="720" w:hanging="360"/>
      </w:pPr>
      <w:rPr>
        <w:rFonts w:ascii="Arial" w:hAnsi="Arial" w:hint="default"/>
      </w:rPr>
    </w:lvl>
    <w:lvl w:ilvl="1" w:tplc="4E22DB44" w:tentative="1">
      <w:start w:val="1"/>
      <w:numFmt w:val="bullet"/>
      <w:lvlText w:val="•"/>
      <w:lvlJc w:val="left"/>
      <w:pPr>
        <w:tabs>
          <w:tab w:val="num" w:pos="1440"/>
        </w:tabs>
        <w:ind w:left="1440" w:hanging="360"/>
      </w:pPr>
      <w:rPr>
        <w:rFonts w:ascii="Arial" w:hAnsi="Arial" w:hint="default"/>
      </w:rPr>
    </w:lvl>
    <w:lvl w:ilvl="2" w:tplc="553C3BDE" w:tentative="1">
      <w:start w:val="1"/>
      <w:numFmt w:val="bullet"/>
      <w:lvlText w:val="•"/>
      <w:lvlJc w:val="left"/>
      <w:pPr>
        <w:tabs>
          <w:tab w:val="num" w:pos="2160"/>
        </w:tabs>
        <w:ind w:left="2160" w:hanging="360"/>
      </w:pPr>
      <w:rPr>
        <w:rFonts w:ascii="Arial" w:hAnsi="Arial" w:hint="default"/>
      </w:rPr>
    </w:lvl>
    <w:lvl w:ilvl="3" w:tplc="0C8E183A" w:tentative="1">
      <w:start w:val="1"/>
      <w:numFmt w:val="bullet"/>
      <w:lvlText w:val="•"/>
      <w:lvlJc w:val="left"/>
      <w:pPr>
        <w:tabs>
          <w:tab w:val="num" w:pos="2880"/>
        </w:tabs>
        <w:ind w:left="2880" w:hanging="360"/>
      </w:pPr>
      <w:rPr>
        <w:rFonts w:ascii="Arial" w:hAnsi="Arial" w:hint="default"/>
      </w:rPr>
    </w:lvl>
    <w:lvl w:ilvl="4" w:tplc="DA604C82" w:tentative="1">
      <w:start w:val="1"/>
      <w:numFmt w:val="bullet"/>
      <w:lvlText w:val="•"/>
      <w:lvlJc w:val="left"/>
      <w:pPr>
        <w:tabs>
          <w:tab w:val="num" w:pos="3600"/>
        </w:tabs>
        <w:ind w:left="3600" w:hanging="360"/>
      </w:pPr>
      <w:rPr>
        <w:rFonts w:ascii="Arial" w:hAnsi="Arial" w:hint="default"/>
      </w:rPr>
    </w:lvl>
    <w:lvl w:ilvl="5" w:tplc="8570A410" w:tentative="1">
      <w:start w:val="1"/>
      <w:numFmt w:val="bullet"/>
      <w:lvlText w:val="•"/>
      <w:lvlJc w:val="left"/>
      <w:pPr>
        <w:tabs>
          <w:tab w:val="num" w:pos="4320"/>
        </w:tabs>
        <w:ind w:left="4320" w:hanging="360"/>
      </w:pPr>
      <w:rPr>
        <w:rFonts w:ascii="Arial" w:hAnsi="Arial" w:hint="default"/>
      </w:rPr>
    </w:lvl>
    <w:lvl w:ilvl="6" w:tplc="728E1BA4" w:tentative="1">
      <w:start w:val="1"/>
      <w:numFmt w:val="bullet"/>
      <w:lvlText w:val="•"/>
      <w:lvlJc w:val="left"/>
      <w:pPr>
        <w:tabs>
          <w:tab w:val="num" w:pos="5040"/>
        </w:tabs>
        <w:ind w:left="5040" w:hanging="360"/>
      </w:pPr>
      <w:rPr>
        <w:rFonts w:ascii="Arial" w:hAnsi="Arial" w:hint="default"/>
      </w:rPr>
    </w:lvl>
    <w:lvl w:ilvl="7" w:tplc="CEB0C490" w:tentative="1">
      <w:start w:val="1"/>
      <w:numFmt w:val="bullet"/>
      <w:lvlText w:val="•"/>
      <w:lvlJc w:val="left"/>
      <w:pPr>
        <w:tabs>
          <w:tab w:val="num" w:pos="5760"/>
        </w:tabs>
        <w:ind w:left="5760" w:hanging="360"/>
      </w:pPr>
      <w:rPr>
        <w:rFonts w:ascii="Arial" w:hAnsi="Arial" w:hint="default"/>
      </w:rPr>
    </w:lvl>
    <w:lvl w:ilvl="8" w:tplc="7688C4BC" w:tentative="1">
      <w:start w:val="1"/>
      <w:numFmt w:val="bullet"/>
      <w:lvlText w:val="•"/>
      <w:lvlJc w:val="left"/>
      <w:pPr>
        <w:tabs>
          <w:tab w:val="num" w:pos="6480"/>
        </w:tabs>
        <w:ind w:left="6480" w:hanging="360"/>
      </w:pPr>
      <w:rPr>
        <w:rFonts w:ascii="Arial" w:hAnsi="Arial" w:hint="default"/>
      </w:rPr>
    </w:lvl>
  </w:abstractNum>
  <w:abstractNum w:abstractNumId="22">
    <w:nsid w:val="7F525089"/>
    <w:multiLevelType w:val="hybridMultilevel"/>
    <w:tmpl w:val="A1EED904"/>
    <w:lvl w:ilvl="0" w:tplc="0A92F3D2">
      <w:start w:val="1"/>
      <w:numFmt w:val="bullet"/>
      <w:lvlText w:val="•"/>
      <w:lvlJc w:val="left"/>
      <w:pPr>
        <w:tabs>
          <w:tab w:val="num" w:pos="720"/>
        </w:tabs>
        <w:ind w:left="720" w:hanging="360"/>
      </w:pPr>
      <w:rPr>
        <w:rFonts w:ascii="Arial" w:hAnsi="Arial" w:hint="default"/>
      </w:rPr>
    </w:lvl>
    <w:lvl w:ilvl="1" w:tplc="41D05A2C" w:tentative="1">
      <w:start w:val="1"/>
      <w:numFmt w:val="bullet"/>
      <w:lvlText w:val="•"/>
      <w:lvlJc w:val="left"/>
      <w:pPr>
        <w:tabs>
          <w:tab w:val="num" w:pos="1440"/>
        </w:tabs>
        <w:ind w:left="1440" w:hanging="360"/>
      </w:pPr>
      <w:rPr>
        <w:rFonts w:ascii="Arial" w:hAnsi="Arial" w:hint="default"/>
      </w:rPr>
    </w:lvl>
    <w:lvl w:ilvl="2" w:tplc="B9183D26" w:tentative="1">
      <w:start w:val="1"/>
      <w:numFmt w:val="bullet"/>
      <w:lvlText w:val="•"/>
      <w:lvlJc w:val="left"/>
      <w:pPr>
        <w:tabs>
          <w:tab w:val="num" w:pos="2160"/>
        </w:tabs>
        <w:ind w:left="2160" w:hanging="360"/>
      </w:pPr>
      <w:rPr>
        <w:rFonts w:ascii="Arial" w:hAnsi="Arial" w:hint="default"/>
      </w:rPr>
    </w:lvl>
    <w:lvl w:ilvl="3" w:tplc="2C8E9764" w:tentative="1">
      <w:start w:val="1"/>
      <w:numFmt w:val="bullet"/>
      <w:lvlText w:val="•"/>
      <w:lvlJc w:val="left"/>
      <w:pPr>
        <w:tabs>
          <w:tab w:val="num" w:pos="2880"/>
        </w:tabs>
        <w:ind w:left="2880" w:hanging="360"/>
      </w:pPr>
      <w:rPr>
        <w:rFonts w:ascii="Arial" w:hAnsi="Arial" w:hint="default"/>
      </w:rPr>
    </w:lvl>
    <w:lvl w:ilvl="4" w:tplc="5BD8F914" w:tentative="1">
      <w:start w:val="1"/>
      <w:numFmt w:val="bullet"/>
      <w:lvlText w:val="•"/>
      <w:lvlJc w:val="left"/>
      <w:pPr>
        <w:tabs>
          <w:tab w:val="num" w:pos="3600"/>
        </w:tabs>
        <w:ind w:left="3600" w:hanging="360"/>
      </w:pPr>
      <w:rPr>
        <w:rFonts w:ascii="Arial" w:hAnsi="Arial" w:hint="default"/>
      </w:rPr>
    </w:lvl>
    <w:lvl w:ilvl="5" w:tplc="F7062D2C" w:tentative="1">
      <w:start w:val="1"/>
      <w:numFmt w:val="bullet"/>
      <w:lvlText w:val="•"/>
      <w:lvlJc w:val="left"/>
      <w:pPr>
        <w:tabs>
          <w:tab w:val="num" w:pos="4320"/>
        </w:tabs>
        <w:ind w:left="4320" w:hanging="360"/>
      </w:pPr>
      <w:rPr>
        <w:rFonts w:ascii="Arial" w:hAnsi="Arial" w:hint="default"/>
      </w:rPr>
    </w:lvl>
    <w:lvl w:ilvl="6" w:tplc="7AACA610" w:tentative="1">
      <w:start w:val="1"/>
      <w:numFmt w:val="bullet"/>
      <w:lvlText w:val="•"/>
      <w:lvlJc w:val="left"/>
      <w:pPr>
        <w:tabs>
          <w:tab w:val="num" w:pos="5040"/>
        </w:tabs>
        <w:ind w:left="5040" w:hanging="360"/>
      </w:pPr>
      <w:rPr>
        <w:rFonts w:ascii="Arial" w:hAnsi="Arial" w:hint="default"/>
      </w:rPr>
    </w:lvl>
    <w:lvl w:ilvl="7" w:tplc="213C5914" w:tentative="1">
      <w:start w:val="1"/>
      <w:numFmt w:val="bullet"/>
      <w:lvlText w:val="•"/>
      <w:lvlJc w:val="left"/>
      <w:pPr>
        <w:tabs>
          <w:tab w:val="num" w:pos="5760"/>
        </w:tabs>
        <w:ind w:left="5760" w:hanging="360"/>
      </w:pPr>
      <w:rPr>
        <w:rFonts w:ascii="Arial" w:hAnsi="Arial" w:hint="default"/>
      </w:rPr>
    </w:lvl>
    <w:lvl w:ilvl="8" w:tplc="E55A622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8"/>
  </w:num>
  <w:num w:numId="3">
    <w:abstractNumId w:val="5"/>
  </w:num>
  <w:num w:numId="4">
    <w:abstractNumId w:val="12"/>
  </w:num>
  <w:num w:numId="5">
    <w:abstractNumId w:val="14"/>
  </w:num>
  <w:num w:numId="6">
    <w:abstractNumId w:val="7"/>
  </w:num>
  <w:num w:numId="7">
    <w:abstractNumId w:val="6"/>
  </w:num>
  <w:num w:numId="8">
    <w:abstractNumId w:val="20"/>
  </w:num>
  <w:num w:numId="9">
    <w:abstractNumId w:val="15"/>
  </w:num>
  <w:num w:numId="10">
    <w:abstractNumId w:val="17"/>
  </w:num>
  <w:num w:numId="11">
    <w:abstractNumId w:val="19"/>
  </w:num>
  <w:num w:numId="12">
    <w:abstractNumId w:val="0"/>
  </w:num>
  <w:num w:numId="13">
    <w:abstractNumId w:val="3"/>
  </w:num>
  <w:num w:numId="14">
    <w:abstractNumId w:val="10"/>
  </w:num>
  <w:num w:numId="15">
    <w:abstractNumId w:val="16"/>
  </w:num>
  <w:num w:numId="16">
    <w:abstractNumId w:val="8"/>
  </w:num>
  <w:num w:numId="17">
    <w:abstractNumId w:val="21"/>
  </w:num>
  <w:num w:numId="18">
    <w:abstractNumId w:val="13"/>
  </w:num>
  <w:num w:numId="19">
    <w:abstractNumId w:val="4"/>
  </w:num>
  <w:num w:numId="20">
    <w:abstractNumId w:val="1"/>
  </w:num>
  <w:num w:numId="21">
    <w:abstractNumId w:val="22"/>
  </w:num>
  <w:num w:numId="22">
    <w:abstractNumId w:val="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809FD"/>
    <w:rsid w:val="00000A81"/>
    <w:rsid w:val="000018C7"/>
    <w:rsid w:val="00006561"/>
    <w:rsid w:val="0002214A"/>
    <w:rsid w:val="00027B8A"/>
    <w:rsid w:val="00030BE2"/>
    <w:rsid w:val="00032AB9"/>
    <w:rsid w:val="00046500"/>
    <w:rsid w:val="00047F20"/>
    <w:rsid w:val="00050037"/>
    <w:rsid w:val="00053FFA"/>
    <w:rsid w:val="00063AE3"/>
    <w:rsid w:val="00070DD5"/>
    <w:rsid w:val="00071DE4"/>
    <w:rsid w:val="000822D7"/>
    <w:rsid w:val="00092C7E"/>
    <w:rsid w:val="000A0D22"/>
    <w:rsid w:val="000B5DF6"/>
    <w:rsid w:val="000B5E51"/>
    <w:rsid w:val="000C4932"/>
    <w:rsid w:val="000D4D55"/>
    <w:rsid w:val="000E149A"/>
    <w:rsid w:val="000E5E3C"/>
    <w:rsid w:val="000F1629"/>
    <w:rsid w:val="000F6D3E"/>
    <w:rsid w:val="000F7CC6"/>
    <w:rsid w:val="00103BD4"/>
    <w:rsid w:val="00106DD8"/>
    <w:rsid w:val="001172E9"/>
    <w:rsid w:val="00121F0F"/>
    <w:rsid w:val="00122FB5"/>
    <w:rsid w:val="001234DA"/>
    <w:rsid w:val="00126081"/>
    <w:rsid w:val="00141334"/>
    <w:rsid w:val="00141FB2"/>
    <w:rsid w:val="001427AC"/>
    <w:rsid w:val="00147708"/>
    <w:rsid w:val="00152AA4"/>
    <w:rsid w:val="0015726C"/>
    <w:rsid w:val="00163E89"/>
    <w:rsid w:val="00164D96"/>
    <w:rsid w:val="001667C7"/>
    <w:rsid w:val="00174341"/>
    <w:rsid w:val="00177D90"/>
    <w:rsid w:val="00186791"/>
    <w:rsid w:val="00190DE6"/>
    <w:rsid w:val="001D2B1E"/>
    <w:rsid w:val="001D6050"/>
    <w:rsid w:val="001E04AB"/>
    <w:rsid w:val="001E0B3B"/>
    <w:rsid w:val="002017CA"/>
    <w:rsid w:val="00206351"/>
    <w:rsid w:val="002167D0"/>
    <w:rsid w:val="00222FF5"/>
    <w:rsid w:val="00233A37"/>
    <w:rsid w:val="00235835"/>
    <w:rsid w:val="002427D3"/>
    <w:rsid w:val="00246215"/>
    <w:rsid w:val="00246C20"/>
    <w:rsid w:val="00264B74"/>
    <w:rsid w:val="00265C17"/>
    <w:rsid w:val="00266FA6"/>
    <w:rsid w:val="0026783F"/>
    <w:rsid w:val="00281E08"/>
    <w:rsid w:val="00285B88"/>
    <w:rsid w:val="002903B4"/>
    <w:rsid w:val="00291AAF"/>
    <w:rsid w:val="00292089"/>
    <w:rsid w:val="0029581C"/>
    <w:rsid w:val="002B02A2"/>
    <w:rsid w:val="002B1087"/>
    <w:rsid w:val="002B7530"/>
    <w:rsid w:val="002B7C80"/>
    <w:rsid w:val="002C60AF"/>
    <w:rsid w:val="002D18D0"/>
    <w:rsid w:val="002D1FE3"/>
    <w:rsid w:val="002D263F"/>
    <w:rsid w:val="002D51DB"/>
    <w:rsid w:val="002F10B1"/>
    <w:rsid w:val="002F46F0"/>
    <w:rsid w:val="00303A24"/>
    <w:rsid w:val="003079E5"/>
    <w:rsid w:val="00310105"/>
    <w:rsid w:val="00322263"/>
    <w:rsid w:val="003235AB"/>
    <w:rsid w:val="00323E57"/>
    <w:rsid w:val="0033702F"/>
    <w:rsid w:val="00343646"/>
    <w:rsid w:val="00347078"/>
    <w:rsid w:val="00373BCD"/>
    <w:rsid w:val="00375E67"/>
    <w:rsid w:val="003809FD"/>
    <w:rsid w:val="00395930"/>
    <w:rsid w:val="003A3951"/>
    <w:rsid w:val="003C05CC"/>
    <w:rsid w:val="003C2982"/>
    <w:rsid w:val="003C6AFF"/>
    <w:rsid w:val="003C7810"/>
    <w:rsid w:val="003D1299"/>
    <w:rsid w:val="003D58F7"/>
    <w:rsid w:val="003D7F06"/>
    <w:rsid w:val="003E2670"/>
    <w:rsid w:val="003F55A7"/>
    <w:rsid w:val="00402303"/>
    <w:rsid w:val="0040239A"/>
    <w:rsid w:val="004051DF"/>
    <w:rsid w:val="0041023A"/>
    <w:rsid w:val="00416163"/>
    <w:rsid w:val="00416238"/>
    <w:rsid w:val="00422A1D"/>
    <w:rsid w:val="00424CE1"/>
    <w:rsid w:val="00440A4C"/>
    <w:rsid w:val="004415F9"/>
    <w:rsid w:val="004719FC"/>
    <w:rsid w:val="00484078"/>
    <w:rsid w:val="00494E50"/>
    <w:rsid w:val="004B390A"/>
    <w:rsid w:val="004B7395"/>
    <w:rsid w:val="004C4388"/>
    <w:rsid w:val="004C4968"/>
    <w:rsid w:val="004D2CD1"/>
    <w:rsid w:val="004E2218"/>
    <w:rsid w:val="004E23AF"/>
    <w:rsid w:val="004E272B"/>
    <w:rsid w:val="004E5BD7"/>
    <w:rsid w:val="004F0E0A"/>
    <w:rsid w:val="004F16B6"/>
    <w:rsid w:val="0050351F"/>
    <w:rsid w:val="005276AF"/>
    <w:rsid w:val="005369B9"/>
    <w:rsid w:val="00536D3A"/>
    <w:rsid w:val="00537CEF"/>
    <w:rsid w:val="00541E1E"/>
    <w:rsid w:val="00547499"/>
    <w:rsid w:val="00547A7C"/>
    <w:rsid w:val="00554A1F"/>
    <w:rsid w:val="00564F64"/>
    <w:rsid w:val="00565A65"/>
    <w:rsid w:val="005772B5"/>
    <w:rsid w:val="00577817"/>
    <w:rsid w:val="00581831"/>
    <w:rsid w:val="00582FCD"/>
    <w:rsid w:val="00591EA8"/>
    <w:rsid w:val="005A7803"/>
    <w:rsid w:val="005B15FF"/>
    <w:rsid w:val="005D1FA7"/>
    <w:rsid w:val="005D3754"/>
    <w:rsid w:val="005D6F64"/>
    <w:rsid w:val="005D7F0E"/>
    <w:rsid w:val="005F7297"/>
    <w:rsid w:val="006064D7"/>
    <w:rsid w:val="00613F3A"/>
    <w:rsid w:val="006470E9"/>
    <w:rsid w:val="00651BD0"/>
    <w:rsid w:val="00653ADA"/>
    <w:rsid w:val="00656981"/>
    <w:rsid w:val="0066178D"/>
    <w:rsid w:val="006624A8"/>
    <w:rsid w:val="006705EA"/>
    <w:rsid w:val="00675876"/>
    <w:rsid w:val="006762B5"/>
    <w:rsid w:val="006A2FB0"/>
    <w:rsid w:val="006A354E"/>
    <w:rsid w:val="006A396C"/>
    <w:rsid w:val="006A6ACA"/>
    <w:rsid w:val="006B6DBF"/>
    <w:rsid w:val="006D2AD0"/>
    <w:rsid w:val="006D69B8"/>
    <w:rsid w:val="006D7BF2"/>
    <w:rsid w:val="006E3544"/>
    <w:rsid w:val="006F3742"/>
    <w:rsid w:val="00701A49"/>
    <w:rsid w:val="0070698E"/>
    <w:rsid w:val="00714E4F"/>
    <w:rsid w:val="00723165"/>
    <w:rsid w:val="00727982"/>
    <w:rsid w:val="00730A3E"/>
    <w:rsid w:val="00732EB6"/>
    <w:rsid w:val="007455FC"/>
    <w:rsid w:val="00747BED"/>
    <w:rsid w:val="00751682"/>
    <w:rsid w:val="00752308"/>
    <w:rsid w:val="00757B6C"/>
    <w:rsid w:val="00757E67"/>
    <w:rsid w:val="00765128"/>
    <w:rsid w:val="0077039B"/>
    <w:rsid w:val="00781E5D"/>
    <w:rsid w:val="0078244F"/>
    <w:rsid w:val="007A017D"/>
    <w:rsid w:val="007A4073"/>
    <w:rsid w:val="007A57CB"/>
    <w:rsid w:val="007A601C"/>
    <w:rsid w:val="007B04C7"/>
    <w:rsid w:val="007C3171"/>
    <w:rsid w:val="007C6323"/>
    <w:rsid w:val="007F0766"/>
    <w:rsid w:val="00813B32"/>
    <w:rsid w:val="00821DE0"/>
    <w:rsid w:val="00822A44"/>
    <w:rsid w:val="0082694C"/>
    <w:rsid w:val="008317FE"/>
    <w:rsid w:val="00842D83"/>
    <w:rsid w:val="00851593"/>
    <w:rsid w:val="00853DB2"/>
    <w:rsid w:val="00861B0B"/>
    <w:rsid w:val="0086506B"/>
    <w:rsid w:val="008674AF"/>
    <w:rsid w:val="008B01B9"/>
    <w:rsid w:val="008B391B"/>
    <w:rsid w:val="008B431C"/>
    <w:rsid w:val="008F13BC"/>
    <w:rsid w:val="00900E76"/>
    <w:rsid w:val="009023A1"/>
    <w:rsid w:val="00915127"/>
    <w:rsid w:val="0092187D"/>
    <w:rsid w:val="00923106"/>
    <w:rsid w:val="0093045F"/>
    <w:rsid w:val="0093170A"/>
    <w:rsid w:val="0093687D"/>
    <w:rsid w:val="00940F06"/>
    <w:rsid w:val="00946624"/>
    <w:rsid w:val="00961374"/>
    <w:rsid w:val="00974B32"/>
    <w:rsid w:val="00981D8D"/>
    <w:rsid w:val="009A6BF0"/>
    <w:rsid w:val="009B3A06"/>
    <w:rsid w:val="009F2455"/>
    <w:rsid w:val="009F7E50"/>
    <w:rsid w:val="00A05F86"/>
    <w:rsid w:val="00A07B2C"/>
    <w:rsid w:val="00A126B8"/>
    <w:rsid w:val="00A143E2"/>
    <w:rsid w:val="00A1783A"/>
    <w:rsid w:val="00A229C3"/>
    <w:rsid w:val="00A2712E"/>
    <w:rsid w:val="00A46C87"/>
    <w:rsid w:val="00A51677"/>
    <w:rsid w:val="00A5630F"/>
    <w:rsid w:val="00A71919"/>
    <w:rsid w:val="00A8136B"/>
    <w:rsid w:val="00AA43CD"/>
    <w:rsid w:val="00AA5B40"/>
    <w:rsid w:val="00AA6577"/>
    <w:rsid w:val="00AA7D05"/>
    <w:rsid w:val="00AD237F"/>
    <w:rsid w:val="00AD3B08"/>
    <w:rsid w:val="00AD6AFF"/>
    <w:rsid w:val="00AF1149"/>
    <w:rsid w:val="00AF5BAB"/>
    <w:rsid w:val="00B041CE"/>
    <w:rsid w:val="00B14119"/>
    <w:rsid w:val="00B25F23"/>
    <w:rsid w:val="00B37002"/>
    <w:rsid w:val="00B46631"/>
    <w:rsid w:val="00B46C64"/>
    <w:rsid w:val="00B54610"/>
    <w:rsid w:val="00B55AB8"/>
    <w:rsid w:val="00B74EDC"/>
    <w:rsid w:val="00B9439A"/>
    <w:rsid w:val="00B9691B"/>
    <w:rsid w:val="00BA75AD"/>
    <w:rsid w:val="00BB13AA"/>
    <w:rsid w:val="00BC1B18"/>
    <w:rsid w:val="00BC6EDD"/>
    <w:rsid w:val="00BD09EC"/>
    <w:rsid w:val="00BE2ECA"/>
    <w:rsid w:val="00BE3920"/>
    <w:rsid w:val="00BE76AF"/>
    <w:rsid w:val="00C10A81"/>
    <w:rsid w:val="00C12E37"/>
    <w:rsid w:val="00C2090E"/>
    <w:rsid w:val="00C219A6"/>
    <w:rsid w:val="00C222A2"/>
    <w:rsid w:val="00C3060C"/>
    <w:rsid w:val="00C3168C"/>
    <w:rsid w:val="00C50B7C"/>
    <w:rsid w:val="00C5744B"/>
    <w:rsid w:val="00C66A32"/>
    <w:rsid w:val="00C81D08"/>
    <w:rsid w:val="00C8700D"/>
    <w:rsid w:val="00C87FD9"/>
    <w:rsid w:val="00C917EF"/>
    <w:rsid w:val="00C93600"/>
    <w:rsid w:val="00C95294"/>
    <w:rsid w:val="00CB00D3"/>
    <w:rsid w:val="00CB047B"/>
    <w:rsid w:val="00CB73E4"/>
    <w:rsid w:val="00CD2DF7"/>
    <w:rsid w:val="00CD3AD8"/>
    <w:rsid w:val="00CE4D17"/>
    <w:rsid w:val="00CF203C"/>
    <w:rsid w:val="00D041FF"/>
    <w:rsid w:val="00D16643"/>
    <w:rsid w:val="00D2596E"/>
    <w:rsid w:val="00D263BF"/>
    <w:rsid w:val="00D30E8D"/>
    <w:rsid w:val="00D33F01"/>
    <w:rsid w:val="00D34CC6"/>
    <w:rsid w:val="00D411F0"/>
    <w:rsid w:val="00D4289A"/>
    <w:rsid w:val="00D52456"/>
    <w:rsid w:val="00D537AB"/>
    <w:rsid w:val="00D545C8"/>
    <w:rsid w:val="00D60222"/>
    <w:rsid w:val="00D63DFB"/>
    <w:rsid w:val="00D6408F"/>
    <w:rsid w:val="00D94459"/>
    <w:rsid w:val="00D966BD"/>
    <w:rsid w:val="00DB53CE"/>
    <w:rsid w:val="00DC381F"/>
    <w:rsid w:val="00DC76AC"/>
    <w:rsid w:val="00DC7AC7"/>
    <w:rsid w:val="00DD1FF8"/>
    <w:rsid w:val="00DD2DFC"/>
    <w:rsid w:val="00DD6410"/>
    <w:rsid w:val="00DE1CDF"/>
    <w:rsid w:val="00DE55BE"/>
    <w:rsid w:val="00E07C2D"/>
    <w:rsid w:val="00E07D97"/>
    <w:rsid w:val="00E22D6B"/>
    <w:rsid w:val="00E32610"/>
    <w:rsid w:val="00E33B57"/>
    <w:rsid w:val="00E528D8"/>
    <w:rsid w:val="00E61B1C"/>
    <w:rsid w:val="00E624BE"/>
    <w:rsid w:val="00E6376C"/>
    <w:rsid w:val="00E6768D"/>
    <w:rsid w:val="00E72BE2"/>
    <w:rsid w:val="00E74B11"/>
    <w:rsid w:val="00E905BC"/>
    <w:rsid w:val="00E93227"/>
    <w:rsid w:val="00EA09B0"/>
    <w:rsid w:val="00EA32A6"/>
    <w:rsid w:val="00EA4399"/>
    <w:rsid w:val="00EB7A58"/>
    <w:rsid w:val="00EC4F3B"/>
    <w:rsid w:val="00ED2264"/>
    <w:rsid w:val="00ED453A"/>
    <w:rsid w:val="00EE2787"/>
    <w:rsid w:val="00EF3BFF"/>
    <w:rsid w:val="00EF7EDF"/>
    <w:rsid w:val="00F06584"/>
    <w:rsid w:val="00F352E1"/>
    <w:rsid w:val="00F35B95"/>
    <w:rsid w:val="00F40B10"/>
    <w:rsid w:val="00F42A22"/>
    <w:rsid w:val="00F46DBB"/>
    <w:rsid w:val="00F54CC3"/>
    <w:rsid w:val="00F5750C"/>
    <w:rsid w:val="00F62B2F"/>
    <w:rsid w:val="00F65FD7"/>
    <w:rsid w:val="00FB425E"/>
    <w:rsid w:val="00FC131C"/>
    <w:rsid w:val="00FC5BA4"/>
    <w:rsid w:val="00FC7D23"/>
    <w:rsid w:val="00FE06F7"/>
    <w:rsid w:val="00FE39FE"/>
    <w:rsid w:val="00FE6B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9FD"/>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809FD"/>
    <w:rPr>
      <w:sz w:val="20"/>
      <w:szCs w:val="20"/>
    </w:rPr>
  </w:style>
  <w:style w:type="character" w:styleId="FootnoteReference">
    <w:name w:val="footnote reference"/>
    <w:basedOn w:val="DefaultParagraphFont"/>
    <w:semiHidden/>
    <w:rsid w:val="003809FD"/>
    <w:rPr>
      <w:vertAlign w:val="superscript"/>
    </w:rPr>
  </w:style>
  <w:style w:type="table" w:styleId="TableGrid">
    <w:name w:val="Table Grid"/>
    <w:basedOn w:val="TableNormal"/>
    <w:rsid w:val="00676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13B32"/>
    <w:pPr>
      <w:tabs>
        <w:tab w:val="center" w:pos="4153"/>
        <w:tab w:val="right" w:pos="8306"/>
      </w:tabs>
    </w:pPr>
  </w:style>
  <w:style w:type="character" w:styleId="PageNumber">
    <w:name w:val="page number"/>
    <w:basedOn w:val="DefaultParagraphFont"/>
    <w:rsid w:val="00813B32"/>
  </w:style>
  <w:style w:type="character" w:styleId="Hyperlink">
    <w:name w:val="Hyperlink"/>
    <w:basedOn w:val="DefaultParagraphFont"/>
    <w:rsid w:val="000018C7"/>
    <w:rPr>
      <w:color w:val="0000FF"/>
      <w:u w:val="single"/>
    </w:rPr>
  </w:style>
  <w:style w:type="character" w:styleId="CommentReference">
    <w:name w:val="annotation reference"/>
    <w:basedOn w:val="DefaultParagraphFont"/>
    <w:rsid w:val="00047F20"/>
    <w:rPr>
      <w:sz w:val="16"/>
      <w:szCs w:val="16"/>
    </w:rPr>
  </w:style>
  <w:style w:type="paragraph" w:styleId="CommentText">
    <w:name w:val="annotation text"/>
    <w:basedOn w:val="Normal"/>
    <w:link w:val="CommentTextChar"/>
    <w:rsid w:val="00047F20"/>
    <w:rPr>
      <w:sz w:val="20"/>
      <w:szCs w:val="20"/>
    </w:rPr>
  </w:style>
  <w:style w:type="character" w:customStyle="1" w:styleId="CommentTextChar">
    <w:name w:val="Comment Text Char"/>
    <w:basedOn w:val="DefaultParagraphFont"/>
    <w:link w:val="CommentText"/>
    <w:rsid w:val="00047F20"/>
    <w:rPr>
      <w:lang w:eastAsia="en-US"/>
    </w:rPr>
  </w:style>
  <w:style w:type="paragraph" w:styleId="CommentSubject">
    <w:name w:val="annotation subject"/>
    <w:basedOn w:val="CommentText"/>
    <w:next w:val="CommentText"/>
    <w:link w:val="CommentSubjectChar"/>
    <w:rsid w:val="00047F20"/>
    <w:rPr>
      <w:b/>
      <w:bCs/>
    </w:rPr>
  </w:style>
  <w:style w:type="character" w:customStyle="1" w:styleId="CommentSubjectChar">
    <w:name w:val="Comment Subject Char"/>
    <w:basedOn w:val="CommentTextChar"/>
    <w:link w:val="CommentSubject"/>
    <w:rsid w:val="00047F20"/>
    <w:rPr>
      <w:b/>
      <w:bCs/>
    </w:rPr>
  </w:style>
  <w:style w:type="paragraph" w:styleId="BalloonText">
    <w:name w:val="Balloon Text"/>
    <w:basedOn w:val="Normal"/>
    <w:link w:val="BalloonTextChar"/>
    <w:rsid w:val="00047F20"/>
    <w:rPr>
      <w:rFonts w:ascii="Tahoma" w:hAnsi="Tahoma" w:cs="Tahoma"/>
      <w:sz w:val="16"/>
      <w:szCs w:val="16"/>
    </w:rPr>
  </w:style>
  <w:style w:type="character" w:customStyle="1" w:styleId="BalloonTextChar">
    <w:name w:val="Balloon Text Char"/>
    <w:basedOn w:val="DefaultParagraphFont"/>
    <w:link w:val="BalloonText"/>
    <w:rsid w:val="00047F20"/>
    <w:rPr>
      <w:rFonts w:ascii="Tahoma" w:hAnsi="Tahoma" w:cs="Tahoma"/>
      <w:sz w:val="16"/>
      <w:szCs w:val="16"/>
      <w:lang w:eastAsia="en-US"/>
    </w:rPr>
  </w:style>
  <w:style w:type="paragraph" w:customStyle="1" w:styleId="ReferenceIndented">
    <w:name w:val="Reference: Indented"/>
    <w:basedOn w:val="Normal"/>
    <w:link w:val="ReferenceIndentedChar"/>
    <w:rsid w:val="006470E9"/>
    <w:pPr>
      <w:spacing w:before="240"/>
      <w:ind w:left="432" w:hanging="432"/>
    </w:pPr>
    <w:rPr>
      <w:sz w:val="22"/>
      <w:lang w:val="en-US"/>
    </w:rPr>
  </w:style>
  <w:style w:type="character" w:customStyle="1" w:styleId="ReferenceIndentedChar">
    <w:name w:val="Reference: Indented Char"/>
    <w:basedOn w:val="DefaultParagraphFont"/>
    <w:link w:val="ReferenceIndented"/>
    <w:rsid w:val="006470E9"/>
    <w:rPr>
      <w:sz w:val="22"/>
      <w:szCs w:val="24"/>
      <w:lang w:val="en-US" w:eastAsia="en-US" w:bidi="ar-SA"/>
    </w:rPr>
  </w:style>
  <w:style w:type="paragraph" w:styleId="EndnoteText">
    <w:name w:val="endnote text"/>
    <w:basedOn w:val="Normal"/>
    <w:link w:val="EndnoteTextChar"/>
    <w:rsid w:val="007F0766"/>
    <w:rPr>
      <w:sz w:val="20"/>
      <w:szCs w:val="20"/>
    </w:rPr>
  </w:style>
  <w:style w:type="character" w:customStyle="1" w:styleId="EndnoteTextChar">
    <w:name w:val="Endnote Text Char"/>
    <w:basedOn w:val="DefaultParagraphFont"/>
    <w:link w:val="EndnoteText"/>
    <w:rsid w:val="007F0766"/>
    <w:rPr>
      <w:lang w:eastAsia="en-US"/>
    </w:rPr>
  </w:style>
  <w:style w:type="character" w:styleId="EndnoteReference">
    <w:name w:val="endnote reference"/>
    <w:basedOn w:val="DefaultParagraphFont"/>
    <w:rsid w:val="007F0766"/>
    <w:rPr>
      <w:vertAlign w:val="superscript"/>
    </w:rPr>
  </w:style>
  <w:style w:type="paragraph" w:styleId="Header">
    <w:name w:val="header"/>
    <w:basedOn w:val="Normal"/>
    <w:link w:val="HeaderChar"/>
    <w:rsid w:val="003C6AFF"/>
    <w:pPr>
      <w:tabs>
        <w:tab w:val="center" w:pos="4513"/>
        <w:tab w:val="right" w:pos="9026"/>
      </w:tabs>
    </w:pPr>
  </w:style>
  <w:style w:type="character" w:customStyle="1" w:styleId="HeaderChar">
    <w:name w:val="Header Char"/>
    <w:basedOn w:val="DefaultParagraphFont"/>
    <w:link w:val="Header"/>
    <w:rsid w:val="003C6AFF"/>
    <w:rPr>
      <w:sz w:val="24"/>
      <w:szCs w:val="24"/>
      <w:lang w:eastAsia="en-US"/>
    </w:rPr>
  </w:style>
  <w:style w:type="paragraph" w:styleId="NormalWeb">
    <w:name w:val="Normal (Web)"/>
    <w:basedOn w:val="Normal"/>
    <w:unhideWhenUsed/>
    <w:rsid w:val="00206351"/>
    <w:pPr>
      <w:spacing w:before="100" w:beforeAutospacing="1" w:after="100" w:afterAutospacing="1"/>
    </w:pPr>
    <w:rPr>
      <w:lang w:eastAsia="en-GB"/>
    </w:rPr>
  </w:style>
  <w:style w:type="character" w:styleId="HTMLCite">
    <w:name w:val="HTML Cite"/>
    <w:basedOn w:val="DefaultParagraphFont"/>
    <w:rsid w:val="00DC76AC"/>
    <w:rPr>
      <w:i/>
      <w:iCs/>
    </w:rPr>
  </w:style>
  <w:style w:type="paragraph" w:customStyle="1" w:styleId="References">
    <w:name w:val="References"/>
    <w:basedOn w:val="Normal"/>
    <w:rsid w:val="00DC76AC"/>
    <w:pPr>
      <w:tabs>
        <w:tab w:val="left" w:pos="567"/>
      </w:tabs>
      <w:spacing w:after="120"/>
      <w:ind w:left="454" w:hanging="454"/>
      <w:jc w:val="both"/>
    </w:pPr>
  </w:style>
  <w:style w:type="paragraph" w:styleId="BodyText">
    <w:name w:val="Body Text"/>
    <w:basedOn w:val="Normal"/>
    <w:rsid w:val="005B15FF"/>
    <w:pPr>
      <w:jc w:val="both"/>
    </w:pPr>
    <w:rPr>
      <w:i/>
      <w:iCs/>
    </w:rPr>
  </w:style>
  <w:style w:type="character" w:customStyle="1" w:styleId="CharChar4">
    <w:name w:val="Char Char4"/>
    <w:basedOn w:val="DefaultParagraphFont"/>
    <w:locked/>
    <w:rsid w:val="00D52456"/>
    <w:rPr>
      <w:rFonts w:cs="Times New Roman"/>
      <w:lang w:val="en-GB" w:eastAsia="en-US" w:bidi="ar-SA"/>
    </w:rPr>
  </w:style>
  <w:style w:type="character" w:styleId="Emphasis">
    <w:name w:val="Emphasis"/>
    <w:basedOn w:val="DefaultParagraphFont"/>
    <w:uiPriority w:val="99"/>
    <w:qFormat/>
    <w:rsid w:val="00AA7D05"/>
    <w:rPr>
      <w:i/>
      <w:iCs/>
    </w:rPr>
  </w:style>
</w:styles>
</file>

<file path=word/webSettings.xml><?xml version="1.0" encoding="utf-8"?>
<w:webSettings xmlns:r="http://schemas.openxmlformats.org/officeDocument/2006/relationships" xmlns:w="http://schemas.openxmlformats.org/wordprocessingml/2006/main">
  <w:divs>
    <w:div w:id="191192523">
      <w:bodyDiv w:val="1"/>
      <w:marLeft w:val="0"/>
      <w:marRight w:val="0"/>
      <w:marTop w:val="0"/>
      <w:marBottom w:val="0"/>
      <w:divBdr>
        <w:top w:val="none" w:sz="0" w:space="0" w:color="auto"/>
        <w:left w:val="none" w:sz="0" w:space="0" w:color="auto"/>
        <w:bottom w:val="none" w:sz="0" w:space="0" w:color="auto"/>
        <w:right w:val="none" w:sz="0" w:space="0" w:color="auto"/>
      </w:divBdr>
    </w:div>
    <w:div w:id="929855193">
      <w:bodyDiv w:val="1"/>
      <w:marLeft w:val="0"/>
      <w:marRight w:val="0"/>
      <w:marTop w:val="0"/>
      <w:marBottom w:val="0"/>
      <w:divBdr>
        <w:top w:val="none" w:sz="0" w:space="0" w:color="auto"/>
        <w:left w:val="none" w:sz="0" w:space="0" w:color="auto"/>
        <w:bottom w:val="none" w:sz="0" w:space="0" w:color="auto"/>
        <w:right w:val="none" w:sz="0" w:space="0" w:color="auto"/>
      </w:divBdr>
      <w:divsChild>
        <w:div w:id="1469930163">
          <w:marLeft w:val="0"/>
          <w:marRight w:val="0"/>
          <w:marTop w:val="0"/>
          <w:marBottom w:val="0"/>
          <w:divBdr>
            <w:top w:val="none" w:sz="0" w:space="0" w:color="auto"/>
            <w:left w:val="none" w:sz="0" w:space="0" w:color="auto"/>
            <w:bottom w:val="none" w:sz="0" w:space="0" w:color="auto"/>
            <w:right w:val="none" w:sz="0" w:space="0" w:color="auto"/>
          </w:divBdr>
          <w:divsChild>
            <w:div w:id="15578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1182">
      <w:bodyDiv w:val="1"/>
      <w:marLeft w:val="0"/>
      <w:marRight w:val="0"/>
      <w:marTop w:val="0"/>
      <w:marBottom w:val="0"/>
      <w:divBdr>
        <w:top w:val="none" w:sz="0" w:space="0" w:color="auto"/>
        <w:left w:val="none" w:sz="0" w:space="0" w:color="auto"/>
        <w:bottom w:val="none" w:sz="0" w:space="0" w:color="auto"/>
        <w:right w:val="none" w:sz="0" w:space="0" w:color="auto"/>
      </w:divBdr>
    </w:div>
    <w:div w:id="1114518975">
      <w:bodyDiv w:val="1"/>
      <w:marLeft w:val="0"/>
      <w:marRight w:val="0"/>
      <w:marTop w:val="0"/>
      <w:marBottom w:val="0"/>
      <w:divBdr>
        <w:top w:val="none" w:sz="0" w:space="0" w:color="auto"/>
        <w:left w:val="none" w:sz="0" w:space="0" w:color="auto"/>
        <w:bottom w:val="none" w:sz="0" w:space="0" w:color="auto"/>
        <w:right w:val="none" w:sz="0" w:space="0" w:color="auto"/>
      </w:divBdr>
    </w:div>
    <w:div w:id="1481268408">
      <w:bodyDiv w:val="1"/>
      <w:marLeft w:val="0"/>
      <w:marRight w:val="0"/>
      <w:marTop w:val="0"/>
      <w:marBottom w:val="0"/>
      <w:divBdr>
        <w:top w:val="none" w:sz="0" w:space="0" w:color="auto"/>
        <w:left w:val="none" w:sz="0" w:space="0" w:color="auto"/>
        <w:bottom w:val="none" w:sz="0" w:space="0" w:color="auto"/>
        <w:right w:val="none" w:sz="0" w:space="0" w:color="auto"/>
      </w:divBdr>
      <w:divsChild>
        <w:div w:id="146827027">
          <w:marLeft w:val="0"/>
          <w:marRight w:val="0"/>
          <w:marTop w:val="0"/>
          <w:marBottom w:val="0"/>
          <w:divBdr>
            <w:top w:val="none" w:sz="0" w:space="0" w:color="auto"/>
            <w:left w:val="none" w:sz="0" w:space="0" w:color="auto"/>
            <w:bottom w:val="none" w:sz="0" w:space="0" w:color="auto"/>
            <w:right w:val="none" w:sz="0" w:space="0" w:color="auto"/>
          </w:divBdr>
          <w:divsChild>
            <w:div w:id="26565428">
              <w:marLeft w:val="0"/>
              <w:marRight w:val="0"/>
              <w:marTop w:val="0"/>
              <w:marBottom w:val="0"/>
              <w:divBdr>
                <w:top w:val="none" w:sz="0" w:space="0" w:color="auto"/>
                <w:left w:val="none" w:sz="0" w:space="0" w:color="auto"/>
                <w:bottom w:val="none" w:sz="0" w:space="0" w:color="auto"/>
                <w:right w:val="none" w:sz="0" w:space="0" w:color="auto"/>
              </w:divBdr>
            </w:div>
            <w:div w:id="92938210">
              <w:marLeft w:val="0"/>
              <w:marRight w:val="0"/>
              <w:marTop w:val="0"/>
              <w:marBottom w:val="0"/>
              <w:divBdr>
                <w:top w:val="none" w:sz="0" w:space="0" w:color="auto"/>
                <w:left w:val="none" w:sz="0" w:space="0" w:color="auto"/>
                <w:bottom w:val="none" w:sz="0" w:space="0" w:color="auto"/>
                <w:right w:val="none" w:sz="0" w:space="0" w:color="auto"/>
              </w:divBdr>
            </w:div>
            <w:div w:id="349337655">
              <w:marLeft w:val="0"/>
              <w:marRight w:val="0"/>
              <w:marTop w:val="0"/>
              <w:marBottom w:val="0"/>
              <w:divBdr>
                <w:top w:val="none" w:sz="0" w:space="0" w:color="auto"/>
                <w:left w:val="none" w:sz="0" w:space="0" w:color="auto"/>
                <w:bottom w:val="none" w:sz="0" w:space="0" w:color="auto"/>
                <w:right w:val="none" w:sz="0" w:space="0" w:color="auto"/>
              </w:divBdr>
            </w:div>
            <w:div w:id="411439525">
              <w:marLeft w:val="0"/>
              <w:marRight w:val="0"/>
              <w:marTop w:val="0"/>
              <w:marBottom w:val="0"/>
              <w:divBdr>
                <w:top w:val="none" w:sz="0" w:space="0" w:color="auto"/>
                <w:left w:val="none" w:sz="0" w:space="0" w:color="auto"/>
                <w:bottom w:val="none" w:sz="0" w:space="0" w:color="auto"/>
                <w:right w:val="none" w:sz="0" w:space="0" w:color="auto"/>
              </w:divBdr>
            </w:div>
            <w:div w:id="455099437">
              <w:marLeft w:val="0"/>
              <w:marRight w:val="0"/>
              <w:marTop w:val="0"/>
              <w:marBottom w:val="0"/>
              <w:divBdr>
                <w:top w:val="none" w:sz="0" w:space="0" w:color="auto"/>
                <w:left w:val="none" w:sz="0" w:space="0" w:color="auto"/>
                <w:bottom w:val="none" w:sz="0" w:space="0" w:color="auto"/>
                <w:right w:val="none" w:sz="0" w:space="0" w:color="auto"/>
              </w:divBdr>
            </w:div>
            <w:div w:id="520245807">
              <w:marLeft w:val="0"/>
              <w:marRight w:val="0"/>
              <w:marTop w:val="0"/>
              <w:marBottom w:val="0"/>
              <w:divBdr>
                <w:top w:val="none" w:sz="0" w:space="0" w:color="auto"/>
                <w:left w:val="none" w:sz="0" w:space="0" w:color="auto"/>
                <w:bottom w:val="none" w:sz="0" w:space="0" w:color="auto"/>
                <w:right w:val="none" w:sz="0" w:space="0" w:color="auto"/>
              </w:divBdr>
            </w:div>
            <w:div w:id="946544524">
              <w:marLeft w:val="0"/>
              <w:marRight w:val="0"/>
              <w:marTop w:val="0"/>
              <w:marBottom w:val="0"/>
              <w:divBdr>
                <w:top w:val="none" w:sz="0" w:space="0" w:color="auto"/>
                <w:left w:val="none" w:sz="0" w:space="0" w:color="auto"/>
                <w:bottom w:val="none" w:sz="0" w:space="0" w:color="auto"/>
                <w:right w:val="none" w:sz="0" w:space="0" w:color="auto"/>
              </w:divBdr>
            </w:div>
            <w:div w:id="1159271159">
              <w:marLeft w:val="0"/>
              <w:marRight w:val="0"/>
              <w:marTop w:val="0"/>
              <w:marBottom w:val="0"/>
              <w:divBdr>
                <w:top w:val="none" w:sz="0" w:space="0" w:color="auto"/>
                <w:left w:val="none" w:sz="0" w:space="0" w:color="auto"/>
                <w:bottom w:val="none" w:sz="0" w:space="0" w:color="auto"/>
                <w:right w:val="none" w:sz="0" w:space="0" w:color="auto"/>
              </w:divBdr>
            </w:div>
            <w:div w:id="1209494469">
              <w:marLeft w:val="0"/>
              <w:marRight w:val="0"/>
              <w:marTop w:val="0"/>
              <w:marBottom w:val="0"/>
              <w:divBdr>
                <w:top w:val="none" w:sz="0" w:space="0" w:color="auto"/>
                <w:left w:val="none" w:sz="0" w:space="0" w:color="auto"/>
                <w:bottom w:val="none" w:sz="0" w:space="0" w:color="auto"/>
                <w:right w:val="none" w:sz="0" w:space="0" w:color="auto"/>
              </w:divBdr>
            </w:div>
            <w:div w:id="1901792136">
              <w:marLeft w:val="0"/>
              <w:marRight w:val="0"/>
              <w:marTop w:val="0"/>
              <w:marBottom w:val="0"/>
              <w:divBdr>
                <w:top w:val="none" w:sz="0" w:space="0" w:color="auto"/>
                <w:left w:val="none" w:sz="0" w:space="0" w:color="auto"/>
                <w:bottom w:val="none" w:sz="0" w:space="0" w:color="auto"/>
                <w:right w:val="none" w:sz="0" w:space="0" w:color="auto"/>
              </w:divBdr>
            </w:div>
            <w:div w:id="1917784534">
              <w:marLeft w:val="0"/>
              <w:marRight w:val="0"/>
              <w:marTop w:val="0"/>
              <w:marBottom w:val="0"/>
              <w:divBdr>
                <w:top w:val="none" w:sz="0" w:space="0" w:color="auto"/>
                <w:left w:val="none" w:sz="0" w:space="0" w:color="auto"/>
                <w:bottom w:val="none" w:sz="0" w:space="0" w:color="auto"/>
                <w:right w:val="none" w:sz="0" w:space="0" w:color="auto"/>
              </w:divBdr>
            </w:div>
            <w:div w:id="19750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3377">
      <w:bodyDiv w:val="1"/>
      <w:marLeft w:val="0"/>
      <w:marRight w:val="0"/>
      <w:marTop w:val="0"/>
      <w:marBottom w:val="0"/>
      <w:divBdr>
        <w:top w:val="none" w:sz="0" w:space="0" w:color="auto"/>
        <w:left w:val="none" w:sz="0" w:space="0" w:color="auto"/>
        <w:bottom w:val="none" w:sz="0" w:space="0" w:color="auto"/>
        <w:right w:val="none" w:sz="0" w:space="0" w:color="auto"/>
      </w:divBdr>
    </w:div>
    <w:div w:id="1858037797">
      <w:bodyDiv w:val="1"/>
      <w:marLeft w:val="0"/>
      <w:marRight w:val="0"/>
      <w:marTop w:val="0"/>
      <w:marBottom w:val="0"/>
      <w:divBdr>
        <w:top w:val="none" w:sz="0" w:space="0" w:color="auto"/>
        <w:left w:val="none" w:sz="0" w:space="0" w:color="auto"/>
        <w:bottom w:val="none" w:sz="0" w:space="0" w:color="auto"/>
        <w:right w:val="none" w:sz="0" w:space="0" w:color="auto"/>
      </w:divBdr>
    </w:div>
    <w:div w:id="1980383626">
      <w:bodyDiv w:val="1"/>
      <w:marLeft w:val="0"/>
      <w:marRight w:val="0"/>
      <w:marTop w:val="0"/>
      <w:marBottom w:val="0"/>
      <w:divBdr>
        <w:top w:val="none" w:sz="0" w:space="0" w:color="auto"/>
        <w:left w:val="none" w:sz="0" w:space="0" w:color="auto"/>
        <w:bottom w:val="none" w:sz="0" w:space="0" w:color="auto"/>
        <w:right w:val="none" w:sz="0" w:space="0" w:color="auto"/>
      </w:divBdr>
    </w:div>
    <w:div w:id="19818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file:///C:\s\eee\educhp.html" TargetMode="External"/><Relationship Id="rId2" Type="http://schemas.openxmlformats.org/officeDocument/2006/relationships/numbering" Target="numbering.xml"/><Relationship Id="rId16" Type="http://schemas.openxmlformats.org/officeDocument/2006/relationships/hyperlink" Target="file:///C:\h\eee\educhp\2-20.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B7A8-D840-480A-8C00-5CD322AA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6192</Words>
  <Characters>35299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THE COSTS OF CHILD POVERTY</vt:lpstr>
    </vt:vector>
  </TitlesOfParts>
  <Company>Joseph Rowntree Foundation</Company>
  <LinksUpToDate>false</LinksUpToDate>
  <CharactersWithSpaces>41409</CharactersWithSpaces>
  <SharedDoc>false</SharedDoc>
  <HLinks>
    <vt:vector size="12" baseType="variant">
      <vt:variant>
        <vt:i4>3997752</vt:i4>
      </vt:variant>
      <vt:variant>
        <vt:i4>18</vt:i4>
      </vt:variant>
      <vt:variant>
        <vt:i4>0</vt:i4>
      </vt:variant>
      <vt:variant>
        <vt:i4>5</vt:i4>
      </vt:variant>
      <vt:variant>
        <vt:lpwstr>/s/eee/educhp.html</vt:lpwstr>
      </vt:variant>
      <vt:variant>
        <vt:lpwstr/>
      </vt:variant>
      <vt:variant>
        <vt:i4>2556007</vt:i4>
      </vt:variant>
      <vt:variant>
        <vt:i4>15</vt:i4>
      </vt:variant>
      <vt:variant>
        <vt:i4>0</vt:i4>
      </vt:variant>
      <vt:variant>
        <vt:i4>5</vt:i4>
      </vt:variant>
      <vt:variant>
        <vt:lpwstr>/h/eee/educhp/2-20.html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COSTS OF CHILD POVERTY</dc:title>
  <dc:creator>chris.goulden</dc:creator>
  <cp:lastModifiedBy>aeestunx</cp:lastModifiedBy>
  <cp:revision>2</cp:revision>
  <cp:lastPrinted>2010-02-12T12:37:00Z</cp:lastPrinted>
  <dcterms:created xsi:type="dcterms:W3CDTF">2010-06-02T12:56:00Z</dcterms:created>
  <dcterms:modified xsi:type="dcterms:W3CDTF">2010-06-02T12:56:00Z</dcterms:modified>
</cp:coreProperties>
</file>